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Washington, D.C. 20549</w:t>
      </w:r>
    </w:p>
    <w:p>
      <w:pPr>
        <w:spacing w:after="0" w:line="15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143" w:lineRule="exact"/>
        <w:rPr>
          <w:sz w:val="24"/>
          <w:szCs w:val="24"/>
          <w:color w:val="auto"/>
        </w:rPr>
      </w:pPr>
    </w:p>
    <w:p>
      <w:pPr>
        <w:ind w:left="4780"/>
        <w:spacing w:after="0"/>
        <w:rPr>
          <w:sz w:val="20"/>
          <w:szCs w:val="20"/>
          <w:color w:val="auto"/>
        </w:rPr>
      </w:pPr>
      <w:r>
        <w:rPr>
          <w:rFonts w:ascii="Arial" w:cs="Arial" w:eastAsia="Arial" w:hAnsi="Arial"/>
          <w:sz w:val="18"/>
          <w:szCs w:val="18"/>
          <w:color w:val="auto"/>
        </w:rPr>
        <w:t>CURRENT REPORT</w:t>
      </w:r>
    </w:p>
    <w:p>
      <w:pPr>
        <w:spacing w:after="0" w:line="117" w:lineRule="exact"/>
        <w:rPr>
          <w:sz w:val="24"/>
          <w:szCs w:val="24"/>
          <w:color w:val="auto"/>
        </w:rPr>
      </w:pPr>
    </w:p>
    <w:p>
      <w:pPr>
        <w:ind w:left="3680"/>
        <w:spacing w:after="0"/>
        <w:rPr>
          <w:sz w:val="20"/>
          <w:szCs w:val="20"/>
          <w:color w:val="auto"/>
        </w:rPr>
      </w:pPr>
      <w:r>
        <w:rPr>
          <w:rFonts w:ascii="Arial" w:cs="Arial" w:eastAsia="Arial" w:hAnsi="Arial"/>
          <w:sz w:val="18"/>
          <w:szCs w:val="18"/>
          <w:color w:val="auto"/>
        </w:rPr>
        <w:t>PURSUANT TO SECTION 13 OR 15(d) OF THE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EXCHANGE ACT OF 1934</w:t>
      </w:r>
    </w:p>
    <w:p>
      <w:pPr>
        <w:spacing w:after="0" w:line="9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 April 6, 2026</w:t>
      </w:r>
    </w:p>
    <w:p>
      <w:pPr>
        <w:spacing w:after="0" w:line="27" w:lineRule="exact"/>
        <w:rPr>
          <w:sz w:val="24"/>
          <w:szCs w:val="24"/>
          <w:color w:val="auto"/>
        </w:rPr>
      </w:pPr>
    </w:p>
    <w:p>
      <w:pPr>
        <w:ind w:left="1280"/>
        <w:spacing w:after="0"/>
        <w:rPr>
          <w:sz w:val="20"/>
          <w:szCs w:val="20"/>
          <w:color w:val="auto"/>
        </w:rPr>
      </w:pPr>
      <w:r>
        <w:rPr>
          <w:rFonts w:ascii="Arial" w:cs="Arial" w:eastAsia="Arial" w:hAnsi="Arial"/>
          <w:sz w:val="18"/>
          <w:szCs w:val="18"/>
          <w:color w:val="auto"/>
        </w:rPr>
        <w:t>_______________________________________________________________________________________</w:t>
      </w:r>
    </w:p>
    <w:p>
      <w:pPr>
        <w:spacing w:after="0" w:line="94" w:lineRule="exact"/>
        <w:rPr>
          <w:sz w:val="24"/>
          <w:szCs w:val="24"/>
          <w:color w:val="auto"/>
        </w:rPr>
      </w:pPr>
    </w:p>
    <w:p>
      <w:pPr>
        <w:jc w:val="center"/>
        <w:spacing w:after="0"/>
        <w:rPr>
          <w:sz w:val="20"/>
          <w:szCs w:val="20"/>
          <w:color w:val="auto"/>
        </w:rPr>
      </w:pPr>
      <w:r>
        <w:rPr>
          <w:rFonts w:ascii="Arial" w:cs="Arial" w:eastAsia="Arial" w:hAnsi="Arial"/>
          <w:sz w:val="36"/>
          <w:szCs w:val="36"/>
          <w:b w:val="1"/>
          <w:bCs w:val="1"/>
          <w:color w:val="auto"/>
        </w:rPr>
        <w:t>LEE ENTERPRISES, INCORPORATED</w:t>
      </w:r>
    </w:p>
    <w:p>
      <w:pPr>
        <w:spacing w:after="0" w:line="4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9" w:lineRule="exact"/>
        <w:rPr>
          <w:sz w:val="24"/>
          <w:szCs w:val="24"/>
          <w:color w:val="auto"/>
        </w:rPr>
      </w:pPr>
    </w:p>
    <w:p>
      <w:pPr>
        <w:ind w:left="1280"/>
        <w:spacing w:after="0"/>
        <w:rPr>
          <w:sz w:val="20"/>
          <w:szCs w:val="20"/>
          <w:color w:val="auto"/>
        </w:rPr>
      </w:pPr>
      <w:r>
        <w:rPr>
          <w:rFonts w:ascii="Arial" w:cs="Arial" w:eastAsia="Arial" w:hAnsi="Arial"/>
          <w:sz w:val="18"/>
          <w:szCs w:val="18"/>
          <w:color w:val="auto"/>
        </w:rPr>
        <w:t>_______________________________________________________________________________________</w:t>
      </w:r>
    </w:p>
    <w:p>
      <w:pPr>
        <w:spacing w:after="0" w:line="153" w:lineRule="exact"/>
        <w:rPr>
          <w:sz w:val="24"/>
          <w:szCs w:val="24"/>
          <w:color w:val="auto"/>
        </w:rPr>
      </w:pPr>
    </w:p>
    <w:tbl>
      <w:tblPr>
        <w:tblLayout w:type="fixed"/>
        <w:tblInd w:w="0" w:type="dxa"/>
        <w:tblCellMar>
          <w:top w:w="0" w:type="dxa"/>
          <w:left w:w="0" w:type="dxa"/>
          <w:bottom w:w="0" w:type="dxa"/>
          <w:right w:w="0" w:type="dxa"/>
        </w:tblCellMar>
      </w:tblPr>
      <w:tr>
        <w:trPr>
          <w:trHeight w:val="239"/>
        </w:trPr>
        <w:tc>
          <w:tcPr>
            <w:tcW w:w="3540" w:type="dxa"/>
            <w:vAlign w:val="bottom"/>
          </w:tcPr>
          <w:p>
            <w:pPr>
              <w:jc w:val="center"/>
              <w:ind w:left="130"/>
              <w:spacing w:after="0"/>
              <w:rPr>
                <w:sz w:val="20"/>
                <w:szCs w:val="20"/>
                <w:color w:val="auto"/>
              </w:rPr>
            </w:pPr>
            <w:r>
              <w:rPr>
                <w:rFonts w:ascii="Arial" w:cs="Arial" w:eastAsia="Arial" w:hAnsi="Arial"/>
                <w:sz w:val="18"/>
                <w:szCs w:val="18"/>
                <w:color w:val="auto"/>
                <w:w w:val="99"/>
              </w:rPr>
              <w:t>Delaware</w:t>
            </w:r>
          </w:p>
        </w:tc>
        <w:tc>
          <w:tcPr>
            <w:tcW w:w="4140" w:type="dxa"/>
            <w:vAlign w:val="bottom"/>
          </w:tcPr>
          <w:p>
            <w:pPr>
              <w:jc w:val="right"/>
              <w:ind w:right="1690"/>
              <w:spacing w:after="0"/>
              <w:rPr>
                <w:sz w:val="20"/>
                <w:szCs w:val="20"/>
                <w:color w:val="auto"/>
              </w:rPr>
            </w:pPr>
            <w:r>
              <w:rPr>
                <w:rFonts w:ascii="Arial" w:cs="Arial" w:eastAsia="Arial" w:hAnsi="Arial"/>
                <w:sz w:val="18"/>
                <w:szCs w:val="18"/>
                <w:color w:val="auto"/>
              </w:rPr>
              <w:t>1-6227</w:t>
            </w:r>
          </w:p>
        </w:tc>
        <w:tc>
          <w:tcPr>
            <w:tcW w:w="3560" w:type="dxa"/>
            <w:vAlign w:val="bottom"/>
          </w:tcPr>
          <w:p>
            <w:pPr>
              <w:jc w:val="center"/>
              <w:ind w:right="110"/>
              <w:spacing w:after="0"/>
              <w:rPr>
                <w:sz w:val="20"/>
                <w:szCs w:val="20"/>
                <w:color w:val="auto"/>
              </w:rPr>
            </w:pPr>
            <w:r>
              <w:rPr>
                <w:rFonts w:ascii="Arial" w:cs="Arial" w:eastAsia="Arial" w:hAnsi="Arial"/>
                <w:sz w:val="18"/>
                <w:szCs w:val="18"/>
                <w:color w:val="auto"/>
                <w:w w:val="99"/>
              </w:rPr>
              <w:t>42-0823980</w:t>
            </w:r>
          </w:p>
        </w:tc>
      </w:tr>
      <w:tr>
        <w:trPr>
          <w:trHeight w:val="257"/>
        </w:trPr>
        <w:tc>
          <w:tcPr>
            <w:tcW w:w="3540" w:type="dxa"/>
            <w:vAlign w:val="bottom"/>
          </w:tcPr>
          <w:p>
            <w:pPr>
              <w:jc w:val="center"/>
              <w:ind w:left="130"/>
              <w:spacing w:after="0"/>
              <w:rPr>
                <w:sz w:val="20"/>
                <w:szCs w:val="20"/>
                <w:color w:val="auto"/>
              </w:rPr>
            </w:pPr>
            <w:r>
              <w:rPr>
                <w:rFonts w:ascii="Arial" w:cs="Arial" w:eastAsia="Arial" w:hAnsi="Arial"/>
                <w:sz w:val="18"/>
                <w:szCs w:val="18"/>
                <w:color w:val="auto"/>
                <w:w w:val="99"/>
              </w:rPr>
              <w:t>(State of Incorporation)</w:t>
            </w:r>
          </w:p>
        </w:tc>
        <w:tc>
          <w:tcPr>
            <w:tcW w:w="4140" w:type="dxa"/>
            <w:vAlign w:val="bottom"/>
          </w:tcPr>
          <w:p>
            <w:pPr>
              <w:jc w:val="center"/>
              <w:spacing w:after="0"/>
              <w:rPr>
                <w:sz w:val="20"/>
                <w:szCs w:val="20"/>
                <w:color w:val="auto"/>
              </w:rPr>
            </w:pPr>
            <w:r>
              <w:rPr>
                <w:rFonts w:ascii="Arial" w:cs="Arial" w:eastAsia="Arial" w:hAnsi="Arial"/>
                <w:sz w:val="18"/>
                <w:szCs w:val="18"/>
                <w:color w:val="auto"/>
                <w:w w:val="99"/>
              </w:rPr>
              <w:t>(Commission File Number)</w:t>
            </w:r>
          </w:p>
        </w:tc>
        <w:tc>
          <w:tcPr>
            <w:tcW w:w="3560" w:type="dxa"/>
            <w:vAlign w:val="bottom"/>
          </w:tcPr>
          <w:p>
            <w:pPr>
              <w:jc w:val="center"/>
              <w:ind w:right="110"/>
              <w:spacing w:after="0"/>
              <w:rPr>
                <w:sz w:val="20"/>
                <w:szCs w:val="20"/>
                <w:color w:val="auto"/>
              </w:rPr>
            </w:pPr>
            <w:r>
              <w:rPr>
                <w:rFonts w:ascii="Arial" w:cs="Arial" w:eastAsia="Arial" w:hAnsi="Arial"/>
                <w:sz w:val="18"/>
                <w:szCs w:val="18"/>
                <w:color w:val="auto"/>
                <w:w w:val="99"/>
              </w:rPr>
              <w:t>(I.R.S. Employer Identification No.)</w:t>
            </w:r>
          </w:p>
        </w:tc>
      </w:tr>
      <w:tr>
        <w:trPr>
          <w:trHeight w:val="527"/>
        </w:trPr>
        <w:tc>
          <w:tcPr>
            <w:tcW w:w="3540" w:type="dxa"/>
            <w:vAlign w:val="bottom"/>
          </w:tcPr>
          <w:p>
            <w:pPr>
              <w:spacing w:after="0"/>
              <w:rPr>
                <w:sz w:val="24"/>
                <w:szCs w:val="24"/>
                <w:color w:val="auto"/>
              </w:rPr>
            </w:pPr>
          </w:p>
        </w:tc>
        <w:tc>
          <w:tcPr>
            <w:tcW w:w="4140" w:type="dxa"/>
            <w:vAlign w:val="bottom"/>
          </w:tcPr>
          <w:p>
            <w:pPr>
              <w:jc w:val="center"/>
              <w:spacing w:after="0"/>
              <w:rPr>
                <w:sz w:val="20"/>
                <w:szCs w:val="20"/>
                <w:color w:val="auto"/>
              </w:rPr>
            </w:pPr>
            <w:r>
              <w:rPr>
                <w:rFonts w:ascii="Arial" w:cs="Arial" w:eastAsia="Arial" w:hAnsi="Arial"/>
                <w:sz w:val="18"/>
                <w:szCs w:val="18"/>
                <w:color w:val="auto"/>
                <w:w w:val="99"/>
              </w:rPr>
              <w:t>4600 E. 53rd Street, Davenport, Iowa 52807</w:t>
            </w:r>
          </w:p>
        </w:tc>
        <w:tc>
          <w:tcPr>
            <w:tcW w:w="3560" w:type="dxa"/>
            <w:vAlign w:val="bottom"/>
          </w:tcPr>
          <w:p>
            <w:pPr>
              <w:spacing w:after="0"/>
              <w:rPr>
                <w:sz w:val="24"/>
                <w:szCs w:val="24"/>
                <w:color w:val="auto"/>
              </w:rPr>
            </w:pPr>
          </w:p>
        </w:tc>
      </w:tr>
      <w:tr>
        <w:trPr>
          <w:trHeight w:val="256"/>
        </w:trPr>
        <w:tc>
          <w:tcPr>
            <w:tcW w:w="3540" w:type="dxa"/>
            <w:vAlign w:val="bottom"/>
          </w:tcPr>
          <w:p>
            <w:pPr>
              <w:spacing w:after="0"/>
              <w:rPr>
                <w:sz w:val="22"/>
                <w:szCs w:val="22"/>
                <w:color w:val="auto"/>
              </w:rPr>
            </w:pPr>
          </w:p>
        </w:tc>
        <w:tc>
          <w:tcPr>
            <w:tcW w:w="4140" w:type="dxa"/>
            <w:vAlign w:val="bottom"/>
          </w:tcPr>
          <w:p>
            <w:pPr>
              <w:jc w:val="center"/>
              <w:spacing w:after="0"/>
              <w:rPr>
                <w:sz w:val="20"/>
                <w:szCs w:val="20"/>
                <w:color w:val="auto"/>
              </w:rPr>
            </w:pPr>
            <w:r>
              <w:rPr>
                <w:rFonts w:ascii="Arial" w:cs="Arial" w:eastAsia="Arial" w:hAnsi="Arial"/>
                <w:sz w:val="18"/>
                <w:szCs w:val="18"/>
                <w:color w:val="auto"/>
                <w:w w:val="99"/>
              </w:rPr>
              <w:t>(Address of Principal Executive Offices)</w:t>
            </w:r>
          </w:p>
        </w:tc>
        <w:tc>
          <w:tcPr>
            <w:tcW w:w="3560" w:type="dxa"/>
            <w:vAlign w:val="bottom"/>
          </w:tcPr>
          <w:p>
            <w:pPr>
              <w:spacing w:after="0"/>
              <w:rPr>
                <w:sz w:val="22"/>
                <w:szCs w:val="22"/>
                <w:color w:val="auto"/>
              </w:rPr>
            </w:pPr>
          </w:p>
        </w:tc>
      </w:tr>
      <w:tr>
        <w:trPr>
          <w:trHeight w:val="513"/>
        </w:trPr>
        <w:tc>
          <w:tcPr>
            <w:tcW w:w="3540" w:type="dxa"/>
            <w:vAlign w:val="bottom"/>
          </w:tcPr>
          <w:p>
            <w:pPr>
              <w:spacing w:after="0"/>
              <w:rPr>
                <w:sz w:val="24"/>
                <w:szCs w:val="24"/>
                <w:color w:val="auto"/>
              </w:rPr>
            </w:pPr>
          </w:p>
        </w:tc>
        <w:tc>
          <w:tcPr>
            <w:tcW w:w="4140" w:type="dxa"/>
            <w:vAlign w:val="bottom"/>
          </w:tcPr>
          <w:p>
            <w:pPr>
              <w:jc w:val="right"/>
              <w:ind w:right="1370"/>
              <w:spacing w:after="0"/>
              <w:rPr>
                <w:sz w:val="20"/>
                <w:szCs w:val="20"/>
                <w:color w:val="auto"/>
              </w:rPr>
            </w:pPr>
            <w:r>
              <w:rPr>
                <w:rFonts w:ascii="Arial" w:cs="Arial" w:eastAsia="Arial" w:hAnsi="Arial"/>
                <w:sz w:val="18"/>
                <w:szCs w:val="18"/>
                <w:color w:val="auto"/>
              </w:rPr>
              <w:t>(563) 383-2100</w:t>
            </w:r>
          </w:p>
        </w:tc>
        <w:tc>
          <w:tcPr>
            <w:tcW w:w="3560" w:type="dxa"/>
            <w:vAlign w:val="bottom"/>
          </w:tcPr>
          <w:p>
            <w:pPr>
              <w:spacing w:after="0"/>
              <w:rPr>
                <w:sz w:val="24"/>
                <w:szCs w:val="24"/>
                <w:color w:val="auto"/>
              </w:rPr>
            </w:pPr>
          </w:p>
        </w:tc>
      </w:tr>
      <w:tr>
        <w:trPr>
          <w:trHeight w:val="247"/>
        </w:trPr>
        <w:tc>
          <w:tcPr>
            <w:tcW w:w="3540" w:type="dxa"/>
            <w:vAlign w:val="bottom"/>
          </w:tcPr>
          <w:p>
            <w:pPr>
              <w:spacing w:after="0"/>
              <w:rPr>
                <w:sz w:val="21"/>
                <w:szCs w:val="21"/>
                <w:color w:val="auto"/>
              </w:rPr>
            </w:pPr>
          </w:p>
        </w:tc>
        <w:tc>
          <w:tcPr>
            <w:tcW w:w="4140" w:type="dxa"/>
            <w:vAlign w:val="bottom"/>
          </w:tcPr>
          <w:p>
            <w:pPr>
              <w:jc w:val="center"/>
              <w:spacing w:after="0"/>
              <w:rPr>
                <w:sz w:val="20"/>
                <w:szCs w:val="20"/>
                <w:color w:val="auto"/>
              </w:rPr>
            </w:pPr>
            <w:r>
              <w:rPr>
                <w:rFonts w:ascii="Arial" w:cs="Arial" w:eastAsia="Arial" w:hAnsi="Arial"/>
                <w:sz w:val="18"/>
                <w:szCs w:val="18"/>
                <w:color w:val="auto"/>
                <w:w w:val="99"/>
              </w:rPr>
              <w:t>Registrant’s telephone number, including area</w:t>
            </w:r>
          </w:p>
        </w:tc>
        <w:tc>
          <w:tcPr>
            <w:tcW w:w="3560" w:type="dxa"/>
            <w:vAlign w:val="bottom"/>
          </w:tcPr>
          <w:p>
            <w:pPr>
              <w:spacing w:after="0"/>
              <w:rPr>
                <w:sz w:val="21"/>
                <w:szCs w:val="21"/>
                <w:color w:val="auto"/>
              </w:rPr>
            </w:pPr>
          </w:p>
        </w:tc>
      </w:tr>
      <w:tr>
        <w:trPr>
          <w:trHeight w:val="239"/>
        </w:trPr>
        <w:tc>
          <w:tcPr>
            <w:tcW w:w="3540" w:type="dxa"/>
            <w:vAlign w:val="bottom"/>
          </w:tcPr>
          <w:p>
            <w:pPr>
              <w:spacing w:after="0"/>
              <w:rPr>
                <w:sz w:val="20"/>
                <w:szCs w:val="20"/>
                <w:color w:val="auto"/>
              </w:rPr>
            </w:pPr>
          </w:p>
        </w:tc>
        <w:tc>
          <w:tcPr>
            <w:tcW w:w="4140" w:type="dxa"/>
            <w:vAlign w:val="bottom"/>
          </w:tcPr>
          <w:p>
            <w:pPr>
              <w:jc w:val="center"/>
              <w:spacing w:after="0"/>
              <w:rPr>
                <w:sz w:val="20"/>
                <w:szCs w:val="20"/>
                <w:color w:val="auto"/>
              </w:rPr>
            </w:pPr>
            <w:r>
              <w:rPr>
                <w:rFonts w:ascii="Arial" w:cs="Arial" w:eastAsia="Arial" w:hAnsi="Arial"/>
                <w:sz w:val="18"/>
                <w:szCs w:val="18"/>
                <w:color w:val="auto"/>
                <w:w w:val="97"/>
              </w:rPr>
              <w:t>code</w:t>
            </w:r>
          </w:p>
        </w:tc>
        <w:tc>
          <w:tcPr>
            <w:tcW w:w="3560" w:type="dxa"/>
            <w:vAlign w:val="bottom"/>
          </w:tcPr>
          <w:p>
            <w:pPr>
              <w:spacing w:after="0"/>
              <w:rPr>
                <w:sz w:val="20"/>
                <w:szCs w:val="20"/>
                <w:color w:val="auto"/>
              </w:rPr>
            </w:pPr>
          </w:p>
        </w:tc>
      </w:tr>
      <w:tr>
        <w:trPr>
          <w:trHeight w:val="454"/>
        </w:trPr>
        <w:tc>
          <w:tcPr>
            <w:tcW w:w="7680" w:type="dxa"/>
            <w:vAlign w:val="bottom"/>
            <w:gridSpan w:val="2"/>
          </w:tcPr>
          <w:p>
            <w:pPr>
              <w:spacing w:after="0"/>
              <w:rPr>
                <w:sz w:val="20"/>
                <w:szCs w:val="20"/>
                <w:color w:val="auto"/>
              </w:rPr>
            </w:pPr>
            <w:r>
              <w:rPr>
                <w:rFonts w:ascii="Arial" w:cs="Arial" w:eastAsia="Arial" w:hAnsi="Arial"/>
                <w:sz w:val="18"/>
                <w:szCs w:val="18"/>
                <w:b w:val="1"/>
                <w:bCs w:val="1"/>
                <w:color w:val="auto"/>
              </w:rPr>
              <w:t>Securities registered pursuant to Section 12(b) of the Act:</w:t>
            </w:r>
          </w:p>
        </w:tc>
        <w:tc>
          <w:tcPr>
            <w:tcW w:w="3560" w:type="dxa"/>
            <w:vAlign w:val="bottom"/>
          </w:tcPr>
          <w:p>
            <w:pPr>
              <w:spacing w:after="0"/>
              <w:rPr>
                <w:sz w:val="24"/>
                <w:szCs w:val="24"/>
                <w:color w:val="auto"/>
              </w:rPr>
            </w:pPr>
          </w:p>
        </w:tc>
      </w:tr>
      <w:tr>
        <w:trPr>
          <w:trHeight w:val="334"/>
        </w:trPr>
        <w:tc>
          <w:tcPr>
            <w:tcW w:w="3540" w:type="dxa"/>
            <w:vAlign w:val="bottom"/>
          </w:tcPr>
          <w:p>
            <w:pPr>
              <w:jc w:val="center"/>
              <w:ind w:left="110"/>
              <w:spacing w:after="0"/>
              <w:rPr>
                <w:sz w:val="20"/>
                <w:szCs w:val="20"/>
                <w:color w:val="auto"/>
              </w:rPr>
            </w:pPr>
            <w:r>
              <w:rPr>
                <w:rFonts w:ascii="Arial" w:cs="Arial" w:eastAsia="Arial" w:hAnsi="Arial"/>
                <w:sz w:val="18"/>
                <w:szCs w:val="18"/>
                <w:b w:val="1"/>
                <w:bCs w:val="1"/>
                <w:color w:val="auto"/>
                <w:w w:val="99"/>
              </w:rPr>
              <w:t>Title of each class</w:t>
            </w:r>
          </w:p>
        </w:tc>
        <w:tc>
          <w:tcPr>
            <w:tcW w:w="4140" w:type="dxa"/>
            <w:vAlign w:val="bottom"/>
          </w:tcPr>
          <w:p>
            <w:pPr>
              <w:jc w:val="center"/>
              <w:spacing w:after="0"/>
              <w:rPr>
                <w:sz w:val="20"/>
                <w:szCs w:val="20"/>
                <w:color w:val="auto"/>
              </w:rPr>
            </w:pPr>
            <w:r>
              <w:rPr>
                <w:rFonts w:ascii="Arial" w:cs="Arial" w:eastAsia="Arial" w:hAnsi="Arial"/>
                <w:sz w:val="18"/>
                <w:szCs w:val="18"/>
                <w:b w:val="1"/>
                <w:bCs w:val="1"/>
                <w:color w:val="auto"/>
                <w:w w:val="99"/>
              </w:rPr>
              <w:t>Trading Symbol(s)</w:t>
            </w:r>
          </w:p>
        </w:tc>
        <w:tc>
          <w:tcPr>
            <w:tcW w:w="3560" w:type="dxa"/>
            <w:vAlign w:val="bottom"/>
          </w:tcPr>
          <w:p>
            <w:pPr>
              <w:jc w:val="center"/>
              <w:ind w:right="110"/>
              <w:spacing w:after="0"/>
              <w:rPr>
                <w:sz w:val="20"/>
                <w:szCs w:val="20"/>
                <w:color w:val="auto"/>
              </w:rPr>
            </w:pPr>
            <w:r>
              <w:rPr>
                <w:rFonts w:ascii="Arial" w:cs="Arial" w:eastAsia="Arial" w:hAnsi="Arial"/>
                <w:sz w:val="18"/>
                <w:szCs w:val="18"/>
                <w:b w:val="1"/>
                <w:bCs w:val="1"/>
                <w:color w:val="auto"/>
                <w:w w:val="99"/>
              </w:rPr>
              <w:t>Name of each exchange on which</w:t>
            </w:r>
          </w:p>
        </w:tc>
      </w:tr>
      <w:tr>
        <w:trPr>
          <w:trHeight w:val="248"/>
        </w:trPr>
        <w:tc>
          <w:tcPr>
            <w:tcW w:w="3540" w:type="dxa"/>
            <w:vAlign w:val="bottom"/>
            <w:tcBorders>
              <w:bottom w:val="single" w:sz="8" w:color="auto"/>
            </w:tcBorders>
          </w:tcPr>
          <w:p>
            <w:pPr>
              <w:spacing w:after="0"/>
              <w:rPr>
                <w:sz w:val="21"/>
                <w:szCs w:val="21"/>
                <w:color w:val="auto"/>
              </w:rPr>
            </w:pPr>
          </w:p>
        </w:tc>
        <w:tc>
          <w:tcPr>
            <w:tcW w:w="4140" w:type="dxa"/>
            <w:vAlign w:val="bottom"/>
            <w:tcBorders>
              <w:bottom w:val="single" w:sz="8" w:color="auto"/>
            </w:tcBorders>
          </w:tcPr>
          <w:p>
            <w:pPr>
              <w:spacing w:after="0"/>
              <w:rPr>
                <w:sz w:val="21"/>
                <w:szCs w:val="21"/>
                <w:color w:val="auto"/>
              </w:rPr>
            </w:pPr>
          </w:p>
        </w:tc>
        <w:tc>
          <w:tcPr>
            <w:tcW w:w="356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rPr>
              <w:t>registered</w:t>
            </w:r>
          </w:p>
        </w:tc>
      </w:tr>
      <w:tr>
        <w:trPr>
          <w:trHeight w:val="241"/>
        </w:trPr>
        <w:tc>
          <w:tcPr>
            <w:tcW w:w="3540" w:type="dxa"/>
            <w:vAlign w:val="bottom"/>
          </w:tcPr>
          <w:p>
            <w:pPr>
              <w:ind w:left="20"/>
              <w:spacing w:after="0"/>
              <w:rPr>
                <w:sz w:val="20"/>
                <w:szCs w:val="20"/>
                <w:color w:val="auto"/>
              </w:rPr>
            </w:pPr>
            <w:r>
              <w:rPr>
                <w:rFonts w:ascii="Arial" w:cs="Arial" w:eastAsia="Arial" w:hAnsi="Arial"/>
                <w:sz w:val="18"/>
                <w:szCs w:val="18"/>
                <w:color w:val="auto"/>
              </w:rPr>
              <w:t>Common Stock, par value $.01 per share</w:t>
            </w:r>
          </w:p>
        </w:tc>
        <w:tc>
          <w:tcPr>
            <w:tcW w:w="4140" w:type="dxa"/>
            <w:vAlign w:val="bottom"/>
          </w:tcPr>
          <w:p>
            <w:pPr>
              <w:jc w:val="center"/>
              <w:spacing w:after="0"/>
              <w:rPr>
                <w:sz w:val="20"/>
                <w:szCs w:val="20"/>
                <w:color w:val="auto"/>
              </w:rPr>
            </w:pPr>
            <w:r>
              <w:rPr>
                <w:rFonts w:ascii="Arial" w:cs="Arial" w:eastAsia="Arial" w:hAnsi="Arial"/>
                <w:sz w:val="18"/>
                <w:szCs w:val="18"/>
                <w:color w:val="auto"/>
                <w:w w:val="99"/>
              </w:rPr>
              <w:t>LEE</w:t>
            </w:r>
          </w:p>
        </w:tc>
        <w:tc>
          <w:tcPr>
            <w:tcW w:w="3560" w:type="dxa"/>
            <w:vAlign w:val="bottom"/>
          </w:tcPr>
          <w:p>
            <w:pPr>
              <w:jc w:val="center"/>
              <w:ind w:right="90"/>
              <w:spacing w:after="0"/>
              <w:rPr>
                <w:sz w:val="20"/>
                <w:szCs w:val="20"/>
                <w:color w:val="auto"/>
              </w:rPr>
            </w:pPr>
            <w:r>
              <w:rPr>
                <w:rFonts w:ascii="Arial" w:cs="Arial" w:eastAsia="Arial" w:hAnsi="Arial"/>
                <w:sz w:val="18"/>
                <w:szCs w:val="18"/>
                <w:color w:val="auto"/>
                <w:w w:val="99"/>
              </w:rPr>
              <w:t>The Nasdaq Global Select Market</w:t>
            </w:r>
          </w:p>
        </w:tc>
      </w:tr>
    </w:tbl>
    <w:p>
      <w:pPr>
        <w:spacing w:after="0" w:line="180" w:lineRule="exact"/>
        <w:rPr>
          <w:sz w:val="24"/>
          <w:szCs w:val="24"/>
          <w:color w:val="auto"/>
        </w:rPr>
      </w:pPr>
    </w:p>
    <w:p>
      <w:pPr>
        <w:jc w:val="both"/>
        <w:spacing w:after="0" w:line="28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99" w:lineRule="exact"/>
        <w:rPr>
          <w:sz w:val="24"/>
          <w:szCs w:val="24"/>
          <w:color w:val="auto"/>
        </w:rPr>
      </w:pPr>
    </w:p>
    <w:p>
      <w:pPr>
        <w:ind w:left="360" w:hanging="334"/>
        <w:spacing w:after="0"/>
        <w:tabs>
          <w:tab w:leader="none" w:pos="360" w:val="left"/>
        </w:tabs>
        <w:numPr>
          <w:ilvl w:val="0"/>
          <w:numId w:val="1"/>
        </w:numPr>
        <w:rPr>
          <w:rFonts w:ascii="Wingdings" w:cs="Wingdings" w:eastAsia="Wingdings" w:hAnsi="Wingdings"/>
          <w:sz w:val="18"/>
          <w:szCs w:val="18"/>
          <w:b w:val="1"/>
          <w:bCs w:val="1"/>
          <w:color w:val="auto"/>
        </w:rPr>
      </w:pPr>
      <w:r>
        <w:rPr>
          <w:rFonts w:ascii="Arial" w:cs="Arial" w:eastAsia="Arial" w:hAnsi="Arial"/>
          <w:sz w:val="18"/>
          <w:szCs w:val="18"/>
          <w:color w:val="auto"/>
        </w:rPr>
        <w:t>Written communications pursuant to Rule 425 under the Securities Act (17 CFR 230.425)</w:t>
      </w:r>
    </w:p>
    <w:p>
      <w:pPr>
        <w:spacing w:after="0" w:line="157" w:lineRule="exact"/>
        <w:rPr>
          <w:rFonts w:ascii="Wingdings" w:cs="Wingdings" w:eastAsia="Wingdings" w:hAnsi="Wingdings"/>
          <w:sz w:val="18"/>
          <w:szCs w:val="18"/>
          <w:b w:val="1"/>
          <w:bCs w:val="1"/>
          <w:color w:val="auto"/>
        </w:rPr>
      </w:pPr>
    </w:p>
    <w:p>
      <w:pPr>
        <w:ind w:left="360" w:hanging="334"/>
        <w:spacing w:after="0"/>
        <w:tabs>
          <w:tab w:leader="none" w:pos="360" w:val="left"/>
        </w:tabs>
        <w:numPr>
          <w:ilvl w:val="0"/>
          <w:numId w:val="1"/>
        </w:numPr>
        <w:rPr>
          <w:rFonts w:ascii="Wingdings" w:cs="Wingdings" w:eastAsia="Wingdings" w:hAnsi="Wingdings"/>
          <w:sz w:val="18"/>
          <w:szCs w:val="18"/>
          <w:b w:val="1"/>
          <w:bCs w:val="1"/>
          <w:color w:val="auto"/>
        </w:rPr>
      </w:pPr>
      <w:r>
        <w:rPr>
          <w:rFonts w:ascii="Arial" w:cs="Arial" w:eastAsia="Arial" w:hAnsi="Arial"/>
          <w:sz w:val="18"/>
          <w:szCs w:val="18"/>
          <w:color w:val="auto"/>
        </w:rPr>
        <w:t>Soliciting material pursuant to Rule 14a-12 under the Exchange Act (17 CFR 240.14a-12)</w:t>
      </w:r>
    </w:p>
    <w:p>
      <w:pPr>
        <w:spacing w:after="0" w:line="157" w:lineRule="exact"/>
        <w:rPr>
          <w:rFonts w:ascii="Wingdings" w:cs="Wingdings" w:eastAsia="Wingdings" w:hAnsi="Wingdings"/>
          <w:sz w:val="18"/>
          <w:szCs w:val="18"/>
          <w:b w:val="1"/>
          <w:bCs w:val="1"/>
          <w:color w:val="auto"/>
        </w:rPr>
      </w:pPr>
    </w:p>
    <w:p>
      <w:pPr>
        <w:ind w:left="360" w:hanging="334"/>
        <w:spacing w:after="0"/>
        <w:tabs>
          <w:tab w:leader="none" w:pos="360" w:val="left"/>
        </w:tabs>
        <w:numPr>
          <w:ilvl w:val="0"/>
          <w:numId w:val="1"/>
        </w:numPr>
        <w:rPr>
          <w:rFonts w:ascii="Wingdings" w:cs="Wingdings" w:eastAsia="Wingdings" w:hAnsi="Wingdings"/>
          <w:sz w:val="18"/>
          <w:szCs w:val="18"/>
          <w:b w:val="1"/>
          <w:bCs w:val="1"/>
          <w:color w:val="auto"/>
        </w:rPr>
      </w:pPr>
      <w:r>
        <w:rPr>
          <w:rFonts w:ascii="Arial" w:cs="Arial" w:eastAsia="Arial" w:hAnsi="Arial"/>
          <w:sz w:val="18"/>
          <w:szCs w:val="18"/>
          <w:color w:val="auto"/>
        </w:rPr>
        <w:t>Pre-commencement communications pursuant to Rule 14d-2(b) under the Exchange Act (17 CFR 240.14d-2(b))</w:t>
      </w:r>
    </w:p>
    <w:p>
      <w:pPr>
        <w:spacing w:after="0" w:line="157" w:lineRule="exact"/>
        <w:rPr>
          <w:rFonts w:ascii="Wingdings" w:cs="Wingdings" w:eastAsia="Wingdings" w:hAnsi="Wingdings"/>
          <w:sz w:val="18"/>
          <w:szCs w:val="18"/>
          <w:b w:val="1"/>
          <w:bCs w:val="1"/>
          <w:color w:val="auto"/>
        </w:rPr>
      </w:pPr>
    </w:p>
    <w:p>
      <w:pPr>
        <w:ind w:left="360" w:hanging="334"/>
        <w:spacing w:after="0"/>
        <w:tabs>
          <w:tab w:leader="none" w:pos="360" w:val="left"/>
        </w:tabs>
        <w:numPr>
          <w:ilvl w:val="0"/>
          <w:numId w:val="1"/>
        </w:numPr>
        <w:rPr>
          <w:rFonts w:ascii="Wingdings" w:cs="Wingdings" w:eastAsia="Wingdings" w:hAnsi="Wingdings"/>
          <w:sz w:val="18"/>
          <w:szCs w:val="18"/>
          <w:b w:val="1"/>
          <w:bCs w:val="1"/>
          <w:color w:val="auto"/>
        </w:rPr>
      </w:pPr>
      <w:r>
        <w:rPr>
          <w:rFonts w:ascii="Arial" w:cs="Arial" w:eastAsia="Arial" w:hAnsi="Arial"/>
          <w:sz w:val="18"/>
          <w:szCs w:val="18"/>
          <w:color w:val="auto"/>
        </w:rPr>
        <w:t>Pre-commencement communications pursuant to Rule 13e-4(c) under the Exchange Act (17 CFR 240.13e-4(c))</w:t>
      </w:r>
    </w:p>
    <w:p>
      <w:pPr>
        <w:spacing w:after="0" w:line="293" w:lineRule="exact"/>
        <w:rPr>
          <w:sz w:val="24"/>
          <w:szCs w:val="24"/>
          <w:color w:val="auto"/>
        </w:rPr>
      </w:pPr>
    </w:p>
    <w:p>
      <w:pPr>
        <w:spacing w:after="0" w:line="260"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 w:lineRule="exact"/>
        <w:rPr>
          <w:sz w:val="24"/>
          <w:szCs w:val="24"/>
          <w:color w:val="auto"/>
        </w:rPr>
      </w:pPr>
    </w:p>
    <w:p>
      <w:pPr>
        <w:ind w:left="8880"/>
        <w:spacing w:after="0"/>
        <w:rPr>
          <w:sz w:val="20"/>
          <w:szCs w:val="20"/>
          <w:color w:val="auto"/>
        </w:rPr>
      </w:pPr>
      <w:r>
        <w:rPr>
          <w:rFonts w:ascii="Arial" w:cs="Arial" w:eastAsia="Arial" w:hAnsi="Arial"/>
          <w:sz w:val="18"/>
          <w:szCs w:val="18"/>
          <w:color w:val="auto"/>
        </w:rPr>
        <w:t xml:space="preserve">Emerging growth company </w:t>
      </w:r>
      <w:r>
        <w:rPr>
          <w:rFonts w:ascii="Wingdings" w:cs="Wingdings" w:eastAsia="Wingdings" w:hAnsi="Wingdings"/>
          <w:sz w:val="18"/>
          <w:szCs w:val="18"/>
          <w:b w:val="1"/>
          <w:bCs w:val="1"/>
          <w:color w:val="auto"/>
        </w:rPr>
        <w:t>o</w:t>
      </w:r>
    </w:p>
    <w:p>
      <w:pPr>
        <w:spacing w:after="0" w:line="180" w:lineRule="exact"/>
        <w:rPr>
          <w:sz w:val="24"/>
          <w:szCs w:val="24"/>
          <w:color w:val="auto"/>
        </w:rPr>
      </w:pPr>
    </w:p>
    <w:p>
      <w:pPr>
        <w:ind w:right="20"/>
        <w:spacing w:after="0" w:line="287" w:lineRule="auto"/>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8"/>
          <w:szCs w:val="18"/>
          <w:b w:val="1"/>
          <w:bCs w:val="1"/>
          <w:color w:val="auto"/>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773430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1" w:name="page2"/>
    <w:bookmarkEnd w:id="1"/>
    <w:p>
      <w:pPr>
        <w:spacing w:after="0"/>
        <w:tabs>
          <w:tab w:leader="none" w:pos="960" w:val="left"/>
        </w:tabs>
        <w:rPr>
          <w:sz w:val="20"/>
          <w:szCs w:val="20"/>
          <w:color w:val="auto"/>
        </w:rPr>
      </w:pPr>
      <w:r>
        <w:rPr>
          <w:rFonts w:ascii="Arial" w:cs="Arial" w:eastAsia="Arial" w:hAnsi="Arial"/>
          <w:sz w:val="18"/>
          <w:szCs w:val="18"/>
          <w:b w:val="1"/>
          <w:bCs w:val="1"/>
          <w:color w:val="auto"/>
        </w:rPr>
        <w:t>Item 5.07</w:t>
      </w:r>
      <w:r>
        <w:rPr>
          <w:sz w:val="20"/>
          <w:szCs w:val="20"/>
          <w:color w:val="auto"/>
        </w:rPr>
        <w:tab/>
      </w:r>
      <w:r>
        <w:rPr>
          <w:rFonts w:ascii="Arial" w:cs="Arial" w:eastAsia="Arial" w:hAnsi="Arial"/>
          <w:sz w:val="17"/>
          <w:szCs w:val="17"/>
          <w:b w:val="1"/>
          <w:bCs w:val="1"/>
          <w:color w:val="auto"/>
        </w:rPr>
        <w:t>Submission of Matters to a Vote of Security Holders</w:t>
      </w:r>
    </w:p>
    <w:p>
      <w:pPr>
        <w:spacing w:after="0" w:line="23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Lee Enterprises, Incorporated (the “Company”) held its 2026 annual meeting of stockholders (the “Annual Meeting”) on April 6, 2026.</w:t>
      </w:r>
    </w:p>
    <w:p>
      <w:pPr>
        <w:spacing w:after="0" w:line="23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On April 6, 2026, Broadridge Investor Communication Solutions, Inc., the independent inspector of election for the Annual Meeting (the “Inspector of Election”), issued its final report certifying the final voting results for the Annual Meeting. Set forth below are the final voting results as provided by the Inspector of Election.</w:t>
      </w:r>
    </w:p>
    <w:p>
      <w:pPr>
        <w:spacing w:after="0" w:line="196" w:lineRule="exact"/>
        <w:rPr>
          <w:sz w:val="20"/>
          <w:szCs w:val="20"/>
          <w:color w:val="auto"/>
        </w:rPr>
      </w:pPr>
    </w:p>
    <w:p>
      <w:pPr>
        <w:jc w:val="both"/>
        <w:ind w:firstLine="648"/>
        <w:spacing w:after="0" w:line="245" w:lineRule="auto"/>
        <w:rPr>
          <w:sz w:val="20"/>
          <w:szCs w:val="20"/>
          <w:color w:val="auto"/>
        </w:rPr>
      </w:pPr>
      <w:r>
        <w:rPr>
          <w:rFonts w:ascii="Arial" w:cs="Arial" w:eastAsia="Arial" w:hAnsi="Arial"/>
          <w:sz w:val="18"/>
          <w:szCs w:val="18"/>
          <w:color w:val="auto"/>
        </w:rPr>
        <w:t>Each share of our common stock, par value $0.01 per share (“Common Stock”) outstanding on March 2, 2026, the record date for the Annual Meeting (the “Record Date”), had one vote on each proposal. On the Record Date, there were 22,229,939 shares of Common</w:t>
      </w:r>
    </w:p>
    <w:p>
      <w:pPr>
        <w:jc w:val="both"/>
        <w:ind w:right="20"/>
        <w:spacing w:after="0" w:line="237" w:lineRule="auto"/>
        <w:rPr>
          <w:sz w:val="20"/>
          <w:szCs w:val="20"/>
          <w:color w:val="auto"/>
        </w:rPr>
      </w:pPr>
      <w:r>
        <w:rPr>
          <w:rFonts w:ascii="Arial" w:cs="Arial" w:eastAsia="Arial" w:hAnsi="Arial"/>
          <w:sz w:val="18"/>
          <w:szCs w:val="18"/>
          <w:color w:val="auto"/>
        </w:rPr>
        <w:t>Stock outstanding. Present at the Annual Meeting were holders of 19,715,634 shares of Common Stock, all represented by proxy, or 88.68% of the outstanding shares entitled to vote at the Annual Meeting as of the Record Date, constituting a quorum.</w:t>
      </w:r>
    </w:p>
    <w:p>
      <w:pPr>
        <w:spacing w:after="0" w:line="214"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 xml:space="preserve">The stockholders voted to elect Ronald J. Kruszewski and </w:t>
      </w:r>
      <w:r>
        <w:rPr>
          <w:rFonts w:ascii="Arial" w:cs="Arial" w:eastAsia="Arial" w:hAnsi="Arial"/>
          <w:sz w:val="21"/>
          <w:szCs w:val="21"/>
          <w:color w:val="auto"/>
        </w:rPr>
        <w:t>M</w:t>
      </w:r>
      <w:r>
        <w:rPr>
          <w:rFonts w:ascii="Arial" w:cs="Arial" w:eastAsia="Arial" w:hAnsi="Arial"/>
          <w:sz w:val="18"/>
          <w:szCs w:val="18"/>
          <w:color w:val="auto"/>
        </w:rPr>
        <w:t>adeline E. McIntosh as directors to serve for a three-year term expiring at the Company’s 2029 annual meeting of stockholders. Votes were cast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2660" w:type="dxa"/>
            <w:vAlign w:val="bottom"/>
          </w:tcPr>
          <w:p>
            <w:pPr>
              <w:spacing w:after="0"/>
              <w:rPr>
                <w:sz w:val="20"/>
                <w:szCs w:val="20"/>
                <w:color w:val="auto"/>
              </w:rPr>
            </w:pPr>
          </w:p>
        </w:tc>
        <w:tc>
          <w:tcPr>
            <w:tcW w:w="2440" w:type="dxa"/>
            <w:vAlign w:val="bottom"/>
          </w:tcPr>
          <w:p>
            <w:pPr>
              <w:jc w:val="center"/>
              <w:ind w:left="170"/>
              <w:spacing w:after="0"/>
              <w:rPr>
                <w:sz w:val="20"/>
                <w:szCs w:val="20"/>
                <w:color w:val="auto"/>
              </w:rPr>
            </w:pPr>
            <w:r>
              <w:rPr>
                <w:rFonts w:ascii="Arial" w:cs="Arial" w:eastAsia="Arial" w:hAnsi="Arial"/>
                <w:sz w:val="18"/>
                <w:szCs w:val="18"/>
                <w:b w:val="1"/>
                <w:bCs w:val="1"/>
                <w:color w:val="auto"/>
              </w:rPr>
              <w:t>For</w:t>
            </w:r>
          </w:p>
        </w:tc>
        <w:tc>
          <w:tcPr>
            <w:tcW w:w="2000" w:type="dxa"/>
            <w:vAlign w:val="bottom"/>
          </w:tcPr>
          <w:p>
            <w:pPr>
              <w:ind w:left="640"/>
              <w:spacing w:after="0"/>
              <w:rPr>
                <w:sz w:val="20"/>
                <w:szCs w:val="20"/>
                <w:color w:val="auto"/>
              </w:rPr>
            </w:pPr>
            <w:r>
              <w:rPr>
                <w:rFonts w:ascii="Arial" w:cs="Arial" w:eastAsia="Arial" w:hAnsi="Arial"/>
                <w:sz w:val="18"/>
                <w:szCs w:val="18"/>
                <w:b w:val="1"/>
                <w:bCs w:val="1"/>
                <w:color w:val="auto"/>
              </w:rPr>
              <w:t>Against</w:t>
            </w:r>
          </w:p>
        </w:tc>
        <w:tc>
          <w:tcPr>
            <w:tcW w:w="1860" w:type="dxa"/>
            <w:vAlign w:val="bottom"/>
          </w:tcPr>
          <w:p>
            <w:pPr>
              <w:jc w:val="center"/>
              <w:ind w:left="150"/>
              <w:spacing w:after="0"/>
              <w:rPr>
                <w:sz w:val="20"/>
                <w:szCs w:val="20"/>
                <w:color w:val="auto"/>
              </w:rPr>
            </w:pPr>
            <w:r>
              <w:rPr>
                <w:rFonts w:ascii="Arial" w:cs="Arial" w:eastAsia="Arial" w:hAnsi="Arial"/>
                <w:sz w:val="18"/>
                <w:szCs w:val="18"/>
                <w:b w:val="1"/>
                <w:bCs w:val="1"/>
                <w:color w:val="auto"/>
                <w:w w:val="99"/>
              </w:rPr>
              <w:t>Abstain</w:t>
            </w:r>
          </w:p>
        </w:tc>
        <w:tc>
          <w:tcPr>
            <w:tcW w:w="2280" w:type="dxa"/>
            <w:vAlign w:val="bottom"/>
          </w:tcPr>
          <w:p>
            <w:pPr>
              <w:jc w:val="right"/>
              <w:ind w:right="190"/>
              <w:spacing w:after="0"/>
              <w:rPr>
                <w:sz w:val="20"/>
                <w:szCs w:val="20"/>
                <w:color w:val="auto"/>
              </w:rPr>
            </w:pPr>
            <w:r>
              <w:rPr>
                <w:rFonts w:ascii="Arial" w:cs="Arial" w:eastAsia="Arial" w:hAnsi="Arial"/>
                <w:sz w:val="18"/>
                <w:szCs w:val="18"/>
                <w:b w:val="1"/>
                <w:bCs w:val="1"/>
                <w:color w:val="auto"/>
              </w:rPr>
              <w:t>Broker Non-Votes</w:t>
            </w:r>
          </w:p>
        </w:tc>
      </w:tr>
      <w:tr>
        <w:trPr>
          <w:trHeight w:val="229"/>
        </w:trPr>
        <w:tc>
          <w:tcPr>
            <w:tcW w:w="2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Ronald J. Kruszewski</w:t>
            </w:r>
          </w:p>
        </w:tc>
        <w:tc>
          <w:tcPr>
            <w:tcW w:w="2440" w:type="dxa"/>
            <w:vAlign w:val="bottom"/>
            <w:shd w:val="clear" w:color="auto" w:fill="CCEEFF"/>
          </w:tcPr>
          <w:p>
            <w:pPr>
              <w:jc w:val="center"/>
              <w:ind w:left="170"/>
              <w:spacing w:after="0"/>
              <w:rPr>
                <w:sz w:val="20"/>
                <w:szCs w:val="20"/>
                <w:color w:val="auto"/>
              </w:rPr>
            </w:pPr>
            <w:r>
              <w:rPr>
                <w:rFonts w:ascii="Arial" w:cs="Arial" w:eastAsia="Arial" w:hAnsi="Arial"/>
                <w:sz w:val="18"/>
                <w:szCs w:val="18"/>
                <w:color w:val="auto"/>
                <w:w w:val="99"/>
              </w:rPr>
              <w:t>18,355,607</w:t>
            </w:r>
          </w:p>
        </w:tc>
        <w:tc>
          <w:tcPr>
            <w:tcW w:w="2000" w:type="dxa"/>
            <w:vAlign w:val="bottom"/>
            <w:shd w:val="clear" w:color="auto" w:fill="CCEEFF"/>
          </w:tcPr>
          <w:p>
            <w:pPr>
              <w:jc w:val="right"/>
              <w:ind w:right="610"/>
              <w:spacing w:after="0"/>
              <w:rPr>
                <w:sz w:val="20"/>
                <w:szCs w:val="20"/>
                <w:color w:val="auto"/>
              </w:rPr>
            </w:pPr>
            <w:r>
              <w:rPr>
                <w:rFonts w:ascii="Arial" w:cs="Arial" w:eastAsia="Arial" w:hAnsi="Arial"/>
                <w:sz w:val="18"/>
                <w:szCs w:val="18"/>
                <w:color w:val="auto"/>
              </w:rPr>
              <w:t>487,169</w:t>
            </w:r>
          </w:p>
        </w:tc>
        <w:tc>
          <w:tcPr>
            <w:tcW w:w="1860" w:type="dxa"/>
            <w:vAlign w:val="bottom"/>
            <w:shd w:val="clear" w:color="auto" w:fill="CCEEFF"/>
          </w:tcPr>
          <w:p>
            <w:pPr>
              <w:jc w:val="center"/>
              <w:ind w:left="150"/>
              <w:spacing w:after="0"/>
              <w:rPr>
                <w:sz w:val="20"/>
                <w:szCs w:val="20"/>
                <w:color w:val="auto"/>
              </w:rPr>
            </w:pPr>
            <w:r>
              <w:rPr>
                <w:rFonts w:ascii="Arial" w:cs="Arial" w:eastAsia="Arial" w:hAnsi="Arial"/>
                <w:sz w:val="18"/>
                <w:szCs w:val="18"/>
                <w:color w:val="auto"/>
                <w:w w:val="99"/>
              </w:rPr>
              <w:t>519</w:t>
            </w:r>
          </w:p>
        </w:tc>
        <w:tc>
          <w:tcPr>
            <w:tcW w:w="2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872,339</w:t>
            </w:r>
          </w:p>
        </w:tc>
      </w:tr>
      <w:tr>
        <w:trPr>
          <w:trHeight w:val="239"/>
        </w:trPr>
        <w:tc>
          <w:tcPr>
            <w:tcW w:w="2660" w:type="dxa"/>
            <w:vAlign w:val="bottom"/>
          </w:tcPr>
          <w:p>
            <w:pPr>
              <w:ind w:left="20"/>
              <w:spacing w:after="0"/>
              <w:rPr>
                <w:sz w:val="20"/>
                <w:szCs w:val="20"/>
                <w:color w:val="auto"/>
              </w:rPr>
            </w:pPr>
            <w:r>
              <w:rPr>
                <w:rFonts w:ascii="Arial" w:cs="Arial" w:eastAsia="Arial" w:hAnsi="Arial"/>
                <w:sz w:val="18"/>
                <w:szCs w:val="18"/>
                <w:color w:val="auto"/>
              </w:rPr>
              <w:t>Madeline E. McIntosh</w:t>
            </w:r>
          </w:p>
        </w:tc>
        <w:tc>
          <w:tcPr>
            <w:tcW w:w="2440" w:type="dxa"/>
            <w:vAlign w:val="bottom"/>
          </w:tcPr>
          <w:p>
            <w:pPr>
              <w:jc w:val="center"/>
              <w:ind w:left="170"/>
              <w:spacing w:after="0"/>
              <w:rPr>
                <w:sz w:val="20"/>
                <w:szCs w:val="20"/>
                <w:color w:val="auto"/>
              </w:rPr>
            </w:pPr>
            <w:r>
              <w:rPr>
                <w:rFonts w:ascii="Arial" w:cs="Arial" w:eastAsia="Arial" w:hAnsi="Arial"/>
                <w:sz w:val="18"/>
                <w:szCs w:val="18"/>
                <w:color w:val="auto"/>
                <w:w w:val="99"/>
              </w:rPr>
              <w:t>18,802,948</w:t>
            </w:r>
          </w:p>
        </w:tc>
        <w:tc>
          <w:tcPr>
            <w:tcW w:w="2000" w:type="dxa"/>
            <w:vAlign w:val="bottom"/>
          </w:tcPr>
          <w:p>
            <w:pPr>
              <w:jc w:val="right"/>
              <w:ind w:right="650"/>
              <w:spacing w:after="0"/>
              <w:rPr>
                <w:sz w:val="20"/>
                <w:szCs w:val="20"/>
                <w:color w:val="auto"/>
              </w:rPr>
            </w:pPr>
            <w:r>
              <w:rPr>
                <w:rFonts w:ascii="Arial" w:cs="Arial" w:eastAsia="Arial" w:hAnsi="Arial"/>
                <w:sz w:val="18"/>
                <w:szCs w:val="18"/>
                <w:color w:val="auto"/>
              </w:rPr>
              <w:t>39,918</w:t>
            </w:r>
          </w:p>
        </w:tc>
        <w:tc>
          <w:tcPr>
            <w:tcW w:w="1860" w:type="dxa"/>
            <w:vAlign w:val="bottom"/>
          </w:tcPr>
          <w:p>
            <w:pPr>
              <w:jc w:val="center"/>
              <w:ind w:left="150"/>
              <w:spacing w:after="0"/>
              <w:rPr>
                <w:sz w:val="20"/>
                <w:szCs w:val="20"/>
                <w:color w:val="auto"/>
              </w:rPr>
            </w:pPr>
            <w:r>
              <w:rPr>
                <w:rFonts w:ascii="Arial" w:cs="Arial" w:eastAsia="Arial" w:hAnsi="Arial"/>
                <w:sz w:val="18"/>
                <w:szCs w:val="18"/>
                <w:color w:val="auto"/>
                <w:w w:val="99"/>
              </w:rPr>
              <w:t>429</w:t>
            </w:r>
          </w:p>
        </w:tc>
        <w:tc>
          <w:tcPr>
            <w:tcW w:w="2280" w:type="dxa"/>
            <w:vAlign w:val="bottom"/>
          </w:tcPr>
          <w:p>
            <w:pPr>
              <w:jc w:val="right"/>
              <w:spacing w:after="0"/>
              <w:rPr>
                <w:sz w:val="20"/>
                <w:szCs w:val="20"/>
                <w:color w:val="auto"/>
              </w:rPr>
            </w:pPr>
            <w:r>
              <w:rPr>
                <w:rFonts w:ascii="Arial" w:cs="Arial" w:eastAsia="Arial" w:hAnsi="Arial"/>
                <w:sz w:val="18"/>
                <w:szCs w:val="18"/>
                <w:color w:val="auto"/>
              </w:rPr>
              <w:t>872,339</w:t>
            </w:r>
          </w:p>
        </w:tc>
      </w:tr>
    </w:tbl>
    <w:p>
      <w:pPr>
        <w:spacing w:after="0" w:line="296" w:lineRule="exact"/>
        <w:rPr>
          <w:sz w:val="20"/>
          <w:szCs w:val="20"/>
          <w:color w:val="auto"/>
        </w:rPr>
      </w:pPr>
    </w:p>
    <w:p>
      <w:pPr>
        <w:ind w:firstLine="648"/>
        <w:spacing w:after="0" w:line="271" w:lineRule="auto"/>
        <w:rPr>
          <w:sz w:val="20"/>
          <w:szCs w:val="20"/>
          <w:color w:val="auto"/>
        </w:rPr>
      </w:pPr>
      <w:r>
        <w:rPr>
          <w:rFonts w:ascii="Arial" w:cs="Arial" w:eastAsia="Arial" w:hAnsi="Arial"/>
          <w:sz w:val="18"/>
          <w:szCs w:val="18"/>
          <w:color w:val="auto"/>
        </w:rPr>
        <w:t>The stockholders approved, by non-binding vote, the compensation of the named executive officers as disclosed in the Company’s 2026 proxy statement, and votes were cast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2860" w:type="dxa"/>
            <w:vAlign w:val="bottom"/>
          </w:tcPr>
          <w:p>
            <w:pPr>
              <w:jc w:val="center"/>
              <w:spacing w:after="0"/>
              <w:rPr>
                <w:sz w:val="20"/>
                <w:szCs w:val="20"/>
                <w:color w:val="auto"/>
              </w:rPr>
            </w:pPr>
            <w:r>
              <w:rPr>
                <w:rFonts w:ascii="Arial" w:cs="Arial" w:eastAsia="Arial" w:hAnsi="Arial"/>
                <w:sz w:val="18"/>
                <w:szCs w:val="18"/>
                <w:b w:val="1"/>
                <w:bCs w:val="1"/>
                <w:color w:val="auto"/>
              </w:rPr>
              <w:t>For</w:t>
            </w:r>
          </w:p>
        </w:tc>
        <w:tc>
          <w:tcPr>
            <w:tcW w:w="2760" w:type="dxa"/>
            <w:vAlign w:val="bottom"/>
          </w:tcPr>
          <w:p>
            <w:pPr>
              <w:jc w:val="center"/>
              <w:spacing w:after="0"/>
              <w:rPr>
                <w:sz w:val="20"/>
                <w:szCs w:val="20"/>
                <w:color w:val="auto"/>
              </w:rPr>
            </w:pPr>
            <w:r>
              <w:rPr>
                <w:rFonts w:ascii="Arial" w:cs="Arial" w:eastAsia="Arial" w:hAnsi="Arial"/>
                <w:sz w:val="18"/>
                <w:szCs w:val="18"/>
                <w:b w:val="1"/>
                <w:bCs w:val="1"/>
                <w:color w:val="auto"/>
                <w:w w:val="99"/>
              </w:rPr>
              <w:t>Against</w:t>
            </w:r>
          </w:p>
        </w:tc>
        <w:tc>
          <w:tcPr>
            <w:tcW w:w="2600" w:type="dxa"/>
            <w:vAlign w:val="bottom"/>
          </w:tcPr>
          <w:p>
            <w:pPr>
              <w:jc w:val="center"/>
              <w:ind w:left="130"/>
              <w:spacing w:after="0"/>
              <w:rPr>
                <w:sz w:val="20"/>
                <w:szCs w:val="20"/>
                <w:color w:val="auto"/>
              </w:rPr>
            </w:pPr>
            <w:r>
              <w:rPr>
                <w:rFonts w:ascii="Arial" w:cs="Arial" w:eastAsia="Arial" w:hAnsi="Arial"/>
                <w:sz w:val="18"/>
                <w:szCs w:val="18"/>
                <w:b w:val="1"/>
                <w:bCs w:val="1"/>
                <w:color w:val="auto"/>
                <w:w w:val="99"/>
              </w:rPr>
              <w:t>Abstain</w:t>
            </w:r>
          </w:p>
        </w:tc>
        <w:tc>
          <w:tcPr>
            <w:tcW w:w="3020" w:type="dxa"/>
            <w:vAlign w:val="bottom"/>
          </w:tcPr>
          <w:p>
            <w:pPr>
              <w:jc w:val="right"/>
              <w:ind w:right="550"/>
              <w:spacing w:after="0"/>
              <w:rPr>
                <w:sz w:val="20"/>
                <w:szCs w:val="20"/>
                <w:color w:val="auto"/>
              </w:rPr>
            </w:pPr>
            <w:r>
              <w:rPr>
                <w:rFonts w:ascii="Arial" w:cs="Arial" w:eastAsia="Arial" w:hAnsi="Arial"/>
                <w:sz w:val="18"/>
                <w:szCs w:val="18"/>
                <w:b w:val="1"/>
                <w:bCs w:val="1"/>
                <w:color w:val="auto"/>
              </w:rPr>
              <w:t>Broker Non-Votes</w:t>
            </w:r>
          </w:p>
        </w:tc>
      </w:tr>
      <w:tr>
        <w:trPr>
          <w:trHeight w:val="230"/>
        </w:trPr>
        <w:tc>
          <w:tcPr>
            <w:tcW w:w="2860" w:type="dxa"/>
            <w:vAlign w:val="bottom"/>
            <w:shd w:val="clear" w:color="auto" w:fill="CCEEFF"/>
          </w:tcPr>
          <w:p>
            <w:pPr>
              <w:jc w:val="right"/>
              <w:ind w:right="930"/>
              <w:spacing w:after="0"/>
              <w:rPr>
                <w:sz w:val="20"/>
                <w:szCs w:val="20"/>
                <w:color w:val="auto"/>
              </w:rPr>
            </w:pPr>
            <w:r>
              <w:rPr>
                <w:rFonts w:ascii="Arial" w:cs="Arial" w:eastAsia="Arial" w:hAnsi="Arial"/>
                <w:sz w:val="18"/>
                <w:szCs w:val="18"/>
                <w:color w:val="auto"/>
              </w:rPr>
              <w:t>18,798,111</w:t>
            </w:r>
          </w:p>
        </w:tc>
        <w:tc>
          <w:tcPr>
            <w:tcW w:w="2760" w:type="dxa"/>
            <w:vAlign w:val="bottom"/>
            <w:shd w:val="clear" w:color="auto" w:fill="CCEEFF"/>
          </w:tcPr>
          <w:p>
            <w:pPr>
              <w:jc w:val="right"/>
              <w:ind w:right="1030"/>
              <w:spacing w:after="0"/>
              <w:rPr>
                <w:sz w:val="20"/>
                <w:szCs w:val="20"/>
                <w:color w:val="auto"/>
              </w:rPr>
            </w:pPr>
            <w:r>
              <w:rPr>
                <w:rFonts w:ascii="Arial" w:cs="Arial" w:eastAsia="Arial" w:hAnsi="Arial"/>
                <w:sz w:val="18"/>
                <w:szCs w:val="18"/>
                <w:color w:val="auto"/>
              </w:rPr>
              <w:t>33,165</w:t>
            </w:r>
          </w:p>
        </w:tc>
        <w:tc>
          <w:tcPr>
            <w:tcW w:w="2600" w:type="dxa"/>
            <w:vAlign w:val="bottom"/>
            <w:shd w:val="clear" w:color="auto" w:fill="CCEEFF"/>
          </w:tcPr>
          <w:p>
            <w:pPr>
              <w:jc w:val="right"/>
              <w:ind w:right="830"/>
              <w:spacing w:after="0"/>
              <w:rPr>
                <w:sz w:val="20"/>
                <w:szCs w:val="20"/>
                <w:color w:val="auto"/>
              </w:rPr>
            </w:pPr>
            <w:r>
              <w:rPr>
                <w:rFonts w:ascii="Arial" w:cs="Arial" w:eastAsia="Arial" w:hAnsi="Arial"/>
                <w:sz w:val="18"/>
                <w:szCs w:val="18"/>
                <w:color w:val="auto"/>
              </w:rPr>
              <w:t>12,019</w:t>
            </w:r>
          </w:p>
        </w:tc>
        <w:tc>
          <w:tcPr>
            <w:tcW w:w="3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872,339</w:t>
            </w:r>
          </w:p>
        </w:tc>
      </w:tr>
    </w:tbl>
    <w:p>
      <w:pPr>
        <w:spacing w:after="0" w:line="292"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The stockholders approved the Second Amendment to the 2020 Long-Term Incentive Plan as disclosed in the Company's 2026 proxy statement. Votes were cast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2880" w:type="dxa"/>
            <w:vAlign w:val="bottom"/>
          </w:tcPr>
          <w:p>
            <w:pPr>
              <w:jc w:val="center"/>
              <w:spacing w:after="0"/>
              <w:rPr>
                <w:sz w:val="20"/>
                <w:szCs w:val="20"/>
                <w:color w:val="auto"/>
              </w:rPr>
            </w:pPr>
            <w:r>
              <w:rPr>
                <w:rFonts w:ascii="Arial" w:cs="Arial" w:eastAsia="Arial" w:hAnsi="Arial"/>
                <w:sz w:val="18"/>
                <w:szCs w:val="18"/>
                <w:b w:val="1"/>
                <w:bCs w:val="1"/>
                <w:color w:val="auto"/>
              </w:rPr>
              <w:t>For</w:t>
            </w:r>
          </w:p>
        </w:tc>
        <w:tc>
          <w:tcPr>
            <w:tcW w:w="2740" w:type="dxa"/>
            <w:vAlign w:val="bottom"/>
          </w:tcPr>
          <w:p>
            <w:pPr>
              <w:ind w:left="1020"/>
              <w:spacing w:after="0"/>
              <w:rPr>
                <w:sz w:val="20"/>
                <w:szCs w:val="20"/>
                <w:color w:val="auto"/>
              </w:rPr>
            </w:pPr>
            <w:r>
              <w:rPr>
                <w:rFonts w:ascii="Arial" w:cs="Arial" w:eastAsia="Arial" w:hAnsi="Arial"/>
                <w:sz w:val="18"/>
                <w:szCs w:val="18"/>
                <w:b w:val="1"/>
                <w:bCs w:val="1"/>
                <w:color w:val="auto"/>
              </w:rPr>
              <w:t>Against</w:t>
            </w:r>
          </w:p>
        </w:tc>
        <w:tc>
          <w:tcPr>
            <w:tcW w:w="2600" w:type="dxa"/>
            <w:vAlign w:val="bottom"/>
          </w:tcPr>
          <w:p>
            <w:pPr>
              <w:jc w:val="center"/>
              <w:ind w:left="130"/>
              <w:spacing w:after="0"/>
              <w:rPr>
                <w:sz w:val="20"/>
                <w:szCs w:val="20"/>
                <w:color w:val="auto"/>
              </w:rPr>
            </w:pPr>
            <w:r>
              <w:rPr>
                <w:rFonts w:ascii="Arial" w:cs="Arial" w:eastAsia="Arial" w:hAnsi="Arial"/>
                <w:sz w:val="18"/>
                <w:szCs w:val="18"/>
                <w:b w:val="1"/>
                <w:bCs w:val="1"/>
                <w:color w:val="auto"/>
                <w:w w:val="99"/>
              </w:rPr>
              <w:t>Abstain</w:t>
            </w:r>
          </w:p>
        </w:tc>
        <w:tc>
          <w:tcPr>
            <w:tcW w:w="3020" w:type="dxa"/>
            <w:vAlign w:val="bottom"/>
          </w:tcPr>
          <w:p>
            <w:pPr>
              <w:jc w:val="right"/>
              <w:ind w:right="550"/>
              <w:spacing w:after="0"/>
              <w:rPr>
                <w:sz w:val="20"/>
                <w:szCs w:val="20"/>
                <w:color w:val="auto"/>
              </w:rPr>
            </w:pPr>
            <w:r>
              <w:rPr>
                <w:rFonts w:ascii="Arial" w:cs="Arial" w:eastAsia="Arial" w:hAnsi="Arial"/>
                <w:sz w:val="18"/>
                <w:szCs w:val="18"/>
                <w:b w:val="1"/>
                <w:bCs w:val="1"/>
                <w:color w:val="auto"/>
              </w:rPr>
              <w:t>Broker Non-Votes</w:t>
            </w:r>
          </w:p>
        </w:tc>
      </w:tr>
      <w:tr>
        <w:trPr>
          <w:trHeight w:val="230"/>
        </w:trPr>
        <w:tc>
          <w:tcPr>
            <w:tcW w:w="2880" w:type="dxa"/>
            <w:vAlign w:val="bottom"/>
            <w:shd w:val="clear" w:color="auto" w:fill="CCEEFF"/>
          </w:tcPr>
          <w:p>
            <w:pPr>
              <w:jc w:val="right"/>
              <w:ind w:right="930"/>
              <w:spacing w:after="0"/>
              <w:rPr>
                <w:sz w:val="20"/>
                <w:szCs w:val="20"/>
                <w:color w:val="auto"/>
              </w:rPr>
            </w:pPr>
            <w:r>
              <w:rPr>
                <w:rFonts w:ascii="Arial" w:cs="Arial" w:eastAsia="Arial" w:hAnsi="Arial"/>
                <w:sz w:val="18"/>
                <w:szCs w:val="18"/>
                <w:color w:val="auto"/>
              </w:rPr>
              <w:t>17,921,101</w:t>
            </w:r>
          </w:p>
        </w:tc>
        <w:tc>
          <w:tcPr>
            <w:tcW w:w="2740" w:type="dxa"/>
            <w:vAlign w:val="bottom"/>
            <w:shd w:val="clear" w:color="auto" w:fill="CCEEFF"/>
          </w:tcPr>
          <w:p>
            <w:pPr>
              <w:ind w:left="1020"/>
              <w:spacing w:after="0"/>
              <w:rPr>
                <w:sz w:val="20"/>
                <w:szCs w:val="20"/>
                <w:color w:val="auto"/>
              </w:rPr>
            </w:pPr>
            <w:r>
              <w:rPr>
                <w:rFonts w:ascii="Arial" w:cs="Arial" w:eastAsia="Arial" w:hAnsi="Arial"/>
                <w:sz w:val="18"/>
                <w:szCs w:val="18"/>
                <w:color w:val="auto"/>
              </w:rPr>
              <w:t>919,991</w:t>
            </w:r>
          </w:p>
        </w:tc>
        <w:tc>
          <w:tcPr>
            <w:tcW w:w="2600" w:type="dxa"/>
            <w:vAlign w:val="bottom"/>
            <w:shd w:val="clear" w:color="auto" w:fill="CCEEFF"/>
          </w:tcPr>
          <w:p>
            <w:pPr>
              <w:jc w:val="right"/>
              <w:ind w:right="870"/>
              <w:spacing w:after="0"/>
              <w:rPr>
                <w:sz w:val="20"/>
                <w:szCs w:val="20"/>
                <w:color w:val="auto"/>
              </w:rPr>
            </w:pPr>
            <w:r>
              <w:rPr>
                <w:rFonts w:ascii="Arial" w:cs="Arial" w:eastAsia="Arial" w:hAnsi="Arial"/>
                <w:sz w:val="18"/>
                <w:szCs w:val="18"/>
                <w:color w:val="auto"/>
              </w:rPr>
              <w:t>2,203</w:t>
            </w:r>
          </w:p>
        </w:tc>
        <w:tc>
          <w:tcPr>
            <w:tcW w:w="3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872,339</w:t>
            </w:r>
          </w:p>
        </w:tc>
      </w:tr>
    </w:tbl>
    <w:p>
      <w:pPr>
        <w:spacing w:after="0" w:line="30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The stockholders voted to ratify the appointment of BDO USA, P.C. to serve as the Company's independent registered public accounting firm for the fiscal year ending September 27, 2026.</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3180" w:type="dxa"/>
            <w:vAlign w:val="bottom"/>
          </w:tcPr>
          <w:p>
            <w:pPr>
              <w:spacing w:after="0"/>
              <w:rPr>
                <w:sz w:val="20"/>
                <w:szCs w:val="20"/>
                <w:color w:val="auto"/>
              </w:rPr>
            </w:pPr>
          </w:p>
        </w:tc>
        <w:tc>
          <w:tcPr>
            <w:tcW w:w="1920" w:type="dxa"/>
            <w:vAlign w:val="bottom"/>
          </w:tcPr>
          <w:p>
            <w:pPr>
              <w:jc w:val="center"/>
              <w:ind w:right="170"/>
              <w:spacing w:after="0"/>
              <w:rPr>
                <w:sz w:val="20"/>
                <w:szCs w:val="20"/>
                <w:color w:val="auto"/>
              </w:rPr>
            </w:pPr>
            <w:r>
              <w:rPr>
                <w:rFonts w:ascii="Arial" w:cs="Arial" w:eastAsia="Arial" w:hAnsi="Arial"/>
                <w:sz w:val="18"/>
                <w:szCs w:val="18"/>
                <w:b w:val="1"/>
                <w:bCs w:val="1"/>
                <w:color w:val="auto"/>
              </w:rPr>
              <w:t>For</w:t>
            </w:r>
          </w:p>
        </w:tc>
        <w:tc>
          <w:tcPr>
            <w:tcW w:w="2000" w:type="dxa"/>
            <w:vAlign w:val="bottom"/>
          </w:tcPr>
          <w:p>
            <w:pPr>
              <w:jc w:val="center"/>
              <w:spacing w:after="0"/>
              <w:rPr>
                <w:sz w:val="20"/>
                <w:szCs w:val="20"/>
                <w:color w:val="auto"/>
              </w:rPr>
            </w:pPr>
            <w:r>
              <w:rPr>
                <w:rFonts w:ascii="Arial" w:cs="Arial" w:eastAsia="Arial" w:hAnsi="Arial"/>
                <w:sz w:val="18"/>
                <w:szCs w:val="18"/>
                <w:b w:val="1"/>
                <w:bCs w:val="1"/>
                <w:color w:val="auto"/>
                <w:w w:val="99"/>
              </w:rPr>
              <w:t>Against</w:t>
            </w:r>
          </w:p>
        </w:tc>
        <w:tc>
          <w:tcPr>
            <w:tcW w:w="1860" w:type="dxa"/>
            <w:vAlign w:val="bottom"/>
          </w:tcPr>
          <w:p>
            <w:pPr>
              <w:jc w:val="center"/>
              <w:ind w:left="150"/>
              <w:spacing w:after="0"/>
              <w:rPr>
                <w:sz w:val="20"/>
                <w:szCs w:val="20"/>
                <w:color w:val="auto"/>
              </w:rPr>
            </w:pPr>
            <w:r>
              <w:rPr>
                <w:rFonts w:ascii="Arial" w:cs="Arial" w:eastAsia="Arial" w:hAnsi="Arial"/>
                <w:sz w:val="18"/>
                <w:szCs w:val="18"/>
                <w:b w:val="1"/>
                <w:bCs w:val="1"/>
                <w:color w:val="auto"/>
                <w:w w:val="99"/>
              </w:rPr>
              <w:t>Abstain</w:t>
            </w:r>
          </w:p>
        </w:tc>
        <w:tc>
          <w:tcPr>
            <w:tcW w:w="2280" w:type="dxa"/>
            <w:vAlign w:val="bottom"/>
          </w:tcPr>
          <w:p>
            <w:pPr>
              <w:ind w:left="480"/>
              <w:spacing w:after="0"/>
              <w:rPr>
                <w:sz w:val="20"/>
                <w:szCs w:val="20"/>
                <w:color w:val="auto"/>
              </w:rPr>
            </w:pPr>
            <w:r>
              <w:rPr>
                <w:rFonts w:ascii="Arial" w:cs="Arial" w:eastAsia="Arial" w:hAnsi="Arial"/>
                <w:sz w:val="18"/>
                <w:szCs w:val="18"/>
                <w:b w:val="1"/>
                <w:bCs w:val="1"/>
                <w:color w:val="auto"/>
              </w:rPr>
              <w:t>Broker Non-Votes</w:t>
            </w:r>
          </w:p>
        </w:tc>
        <w:tc>
          <w:tcPr>
            <w:tcW w:w="0" w:type="dxa"/>
            <w:vAlign w:val="bottom"/>
          </w:tcPr>
          <w:p>
            <w:pPr>
              <w:spacing w:after="0"/>
              <w:rPr>
                <w:sz w:val="1"/>
                <w:szCs w:val="1"/>
                <w:color w:val="auto"/>
              </w:rPr>
            </w:pPr>
          </w:p>
        </w:tc>
      </w:tr>
      <w:tr>
        <w:trPr>
          <w:trHeight w:val="176"/>
        </w:trPr>
        <w:tc>
          <w:tcPr>
            <w:tcW w:w="3180" w:type="dxa"/>
            <w:vAlign w:val="bottom"/>
            <w:shd w:val="clear" w:color="auto" w:fill="CCEEFF"/>
          </w:tcPr>
          <w:p>
            <w:pPr>
              <w:jc w:val="center"/>
              <w:ind w:right="110"/>
              <w:spacing w:after="0" w:line="176" w:lineRule="exact"/>
              <w:rPr>
                <w:sz w:val="20"/>
                <w:szCs w:val="20"/>
                <w:color w:val="auto"/>
              </w:rPr>
            </w:pPr>
            <w:r>
              <w:rPr>
                <w:rFonts w:ascii="Arial" w:cs="Arial" w:eastAsia="Arial" w:hAnsi="Arial"/>
                <w:sz w:val="18"/>
                <w:szCs w:val="18"/>
                <w:color w:val="auto"/>
                <w:w w:val="99"/>
              </w:rPr>
              <w:t>Ratify Appointment of BDO USA,</w:t>
            </w:r>
          </w:p>
        </w:tc>
        <w:tc>
          <w:tcPr>
            <w:tcW w:w="1920" w:type="dxa"/>
            <w:vAlign w:val="bottom"/>
            <w:vMerge w:val="restart"/>
            <w:shd w:val="clear" w:color="auto" w:fill="CCEEFF"/>
          </w:tcPr>
          <w:p>
            <w:pPr>
              <w:jc w:val="right"/>
              <w:ind w:right="550"/>
              <w:spacing w:after="0"/>
              <w:rPr>
                <w:sz w:val="20"/>
                <w:szCs w:val="20"/>
                <w:color w:val="auto"/>
              </w:rPr>
            </w:pPr>
            <w:r>
              <w:rPr>
                <w:rFonts w:ascii="Arial" w:cs="Arial" w:eastAsia="Arial" w:hAnsi="Arial"/>
                <w:sz w:val="18"/>
                <w:szCs w:val="18"/>
                <w:color w:val="auto"/>
              </w:rPr>
              <w:t>19,703,454</w:t>
            </w:r>
          </w:p>
        </w:tc>
        <w:tc>
          <w:tcPr>
            <w:tcW w:w="2000" w:type="dxa"/>
            <w:vAlign w:val="bottom"/>
            <w:vMerge w:val="restart"/>
            <w:shd w:val="clear" w:color="auto" w:fill="CCEEFF"/>
          </w:tcPr>
          <w:p>
            <w:pPr>
              <w:jc w:val="right"/>
              <w:ind w:right="710"/>
              <w:spacing w:after="0"/>
              <w:rPr>
                <w:sz w:val="20"/>
                <w:szCs w:val="20"/>
                <w:color w:val="auto"/>
              </w:rPr>
            </w:pPr>
            <w:r>
              <w:rPr>
                <w:rFonts w:ascii="Arial" w:cs="Arial" w:eastAsia="Arial" w:hAnsi="Arial"/>
                <w:sz w:val="18"/>
                <w:szCs w:val="18"/>
                <w:color w:val="auto"/>
              </w:rPr>
              <w:t>9,368</w:t>
            </w:r>
          </w:p>
        </w:tc>
        <w:tc>
          <w:tcPr>
            <w:tcW w:w="1860" w:type="dxa"/>
            <w:vAlign w:val="bottom"/>
            <w:vMerge w:val="restart"/>
            <w:shd w:val="clear" w:color="auto" w:fill="CCEEFF"/>
          </w:tcPr>
          <w:p>
            <w:pPr>
              <w:jc w:val="right"/>
              <w:ind w:right="510"/>
              <w:spacing w:after="0"/>
              <w:rPr>
                <w:sz w:val="20"/>
                <w:szCs w:val="20"/>
                <w:color w:val="auto"/>
              </w:rPr>
            </w:pPr>
            <w:r>
              <w:rPr>
                <w:rFonts w:ascii="Arial" w:cs="Arial" w:eastAsia="Arial" w:hAnsi="Arial"/>
                <w:sz w:val="18"/>
                <w:szCs w:val="18"/>
                <w:color w:val="auto"/>
              </w:rPr>
              <w:t>2,812</w:t>
            </w:r>
          </w:p>
        </w:tc>
        <w:tc>
          <w:tcPr>
            <w:tcW w:w="2280" w:type="dxa"/>
            <w:vAlign w:val="bottom"/>
            <w:vMerge w:val="restart"/>
            <w:shd w:val="clear" w:color="auto" w:fill="CCEEFF"/>
          </w:tcPr>
          <w:p>
            <w:pPr>
              <w:ind w:left="20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180" w:type="dxa"/>
            <w:vAlign w:val="bottom"/>
            <w:shd w:val="clear" w:color="auto" w:fill="CCEEFF"/>
          </w:tcPr>
          <w:p>
            <w:pPr>
              <w:jc w:val="center"/>
              <w:ind w:right="110"/>
              <w:spacing w:after="0"/>
              <w:rPr>
                <w:sz w:val="20"/>
                <w:szCs w:val="20"/>
                <w:color w:val="auto"/>
              </w:rPr>
            </w:pPr>
            <w:r>
              <w:rPr>
                <w:rFonts w:ascii="Arial" w:cs="Arial" w:eastAsia="Arial" w:hAnsi="Arial"/>
                <w:sz w:val="18"/>
                <w:szCs w:val="18"/>
                <w:color w:val="auto"/>
                <w:w w:val="96"/>
              </w:rPr>
              <w:t>P.C.</w:t>
            </w:r>
          </w:p>
        </w:tc>
        <w:tc>
          <w:tcPr>
            <w:tcW w:w="1920" w:type="dxa"/>
            <w:vAlign w:val="bottom"/>
            <w:vMerge w:val="continue"/>
            <w:shd w:val="clear" w:color="auto" w:fill="CCEEFF"/>
          </w:tcPr>
          <w:p>
            <w:pPr>
              <w:spacing w:after="0"/>
              <w:rPr>
                <w:sz w:val="21"/>
                <w:szCs w:val="21"/>
                <w:color w:val="auto"/>
              </w:rPr>
            </w:pPr>
          </w:p>
        </w:tc>
        <w:tc>
          <w:tcPr>
            <w:tcW w:w="2000" w:type="dxa"/>
            <w:vAlign w:val="bottom"/>
            <w:vMerge w:val="continue"/>
            <w:shd w:val="clear" w:color="auto" w:fill="CCEEFF"/>
          </w:tcPr>
          <w:p>
            <w:pPr>
              <w:spacing w:after="0"/>
              <w:rPr>
                <w:sz w:val="21"/>
                <w:szCs w:val="21"/>
                <w:color w:val="auto"/>
              </w:rPr>
            </w:pPr>
          </w:p>
        </w:tc>
        <w:tc>
          <w:tcPr>
            <w:tcW w:w="1860" w:type="dxa"/>
            <w:vAlign w:val="bottom"/>
            <w:vMerge w:val="continue"/>
            <w:shd w:val="clear" w:color="auto" w:fill="CCEEFF"/>
          </w:tcPr>
          <w:p>
            <w:pPr>
              <w:spacing w:after="0"/>
              <w:rPr>
                <w:sz w:val="21"/>
                <w:szCs w:val="21"/>
                <w:color w:val="auto"/>
              </w:rPr>
            </w:pPr>
          </w:p>
        </w:tc>
        <w:tc>
          <w:tcPr>
            <w:tcW w:w="228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249"/>
        </w:trPr>
        <w:tc>
          <w:tcPr>
            <w:tcW w:w="3180" w:type="dxa"/>
            <w:vAlign w:val="bottom"/>
            <w:tcBorders>
              <w:bottom w:val="single" w:sz="8" w:color="9A9A9A"/>
            </w:tcBorders>
          </w:tcPr>
          <w:p>
            <w:pPr>
              <w:spacing w:after="0"/>
              <w:rPr>
                <w:sz w:val="24"/>
                <w:szCs w:val="24"/>
                <w:color w:val="auto"/>
              </w:rPr>
            </w:pPr>
          </w:p>
        </w:tc>
        <w:tc>
          <w:tcPr>
            <w:tcW w:w="1920" w:type="dxa"/>
            <w:vAlign w:val="bottom"/>
            <w:tcBorders>
              <w:bottom w:val="single" w:sz="8" w:color="9A9A9A"/>
            </w:tcBorders>
          </w:tcPr>
          <w:p>
            <w:pPr>
              <w:spacing w:after="0"/>
              <w:rPr>
                <w:sz w:val="24"/>
                <w:szCs w:val="24"/>
                <w:color w:val="auto"/>
              </w:rPr>
            </w:pPr>
          </w:p>
        </w:tc>
        <w:tc>
          <w:tcPr>
            <w:tcW w:w="2000" w:type="dxa"/>
            <w:vAlign w:val="bottom"/>
            <w:tcBorders>
              <w:bottom w:val="single" w:sz="8" w:color="9A9A9A"/>
            </w:tcBorders>
          </w:tcPr>
          <w:p>
            <w:pPr>
              <w:spacing w:after="0"/>
              <w:rPr>
                <w:sz w:val="24"/>
                <w:szCs w:val="24"/>
                <w:color w:val="auto"/>
              </w:rPr>
            </w:pPr>
          </w:p>
        </w:tc>
        <w:tc>
          <w:tcPr>
            <w:tcW w:w="1860" w:type="dxa"/>
            <w:vAlign w:val="bottom"/>
            <w:tcBorders>
              <w:bottom w:val="single" w:sz="8" w:color="9A9A9A"/>
            </w:tcBorders>
          </w:tcPr>
          <w:p>
            <w:pPr>
              <w:spacing w:after="0"/>
              <w:rPr>
                <w:sz w:val="24"/>
                <w:szCs w:val="24"/>
                <w:color w:val="auto"/>
              </w:rPr>
            </w:pPr>
          </w:p>
        </w:tc>
        <w:tc>
          <w:tcPr>
            <w:tcW w:w="22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2" w:name="page3"/>
    <w:bookmarkEnd w:id="2"/>
    <w:p>
      <w:pPr>
        <w:jc w:val="center"/>
        <w:ind w:right="-179"/>
        <w:spacing w:after="0"/>
        <w:rPr>
          <w:sz w:val="20"/>
          <w:szCs w:val="20"/>
          <w:color w:val="auto"/>
        </w:rPr>
      </w:pPr>
      <w:r>
        <w:rPr>
          <w:rFonts w:ascii="Arial" w:cs="Arial" w:eastAsia="Arial" w:hAnsi="Arial"/>
          <w:sz w:val="18"/>
          <w:szCs w:val="18"/>
          <w:b w:val="1"/>
          <w:bCs w:val="1"/>
          <w:color w:val="auto"/>
        </w:rPr>
        <w:t>SIGNATURES</w:t>
      </w:r>
    </w:p>
    <w:p>
      <w:pPr>
        <w:spacing w:after="0" w:line="185" w:lineRule="exact"/>
        <w:rPr>
          <w:sz w:val="20"/>
          <w:szCs w:val="20"/>
          <w:color w:val="auto"/>
        </w:rPr>
      </w:pPr>
    </w:p>
    <w:p>
      <w:pPr>
        <w:ind w:firstLine="648"/>
        <w:spacing w:after="0" w:line="28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0" w:lineRule="exact"/>
        <w:rPr>
          <w:sz w:val="20"/>
          <w:szCs w:val="20"/>
          <w:color w:val="auto"/>
        </w:rPr>
      </w:pPr>
    </w:p>
    <w:p>
      <w:pPr>
        <w:ind w:left="4740"/>
        <w:spacing w:after="0"/>
        <w:rPr>
          <w:sz w:val="20"/>
          <w:szCs w:val="20"/>
          <w:color w:val="auto"/>
        </w:rPr>
      </w:pPr>
      <w:r>
        <w:rPr>
          <w:rFonts w:ascii="Arial" w:cs="Arial" w:eastAsia="Arial" w:hAnsi="Arial"/>
          <w:sz w:val="18"/>
          <w:szCs w:val="18"/>
          <w:b w:val="1"/>
          <w:bCs w:val="1"/>
          <w:color w:val="auto"/>
        </w:rPr>
        <w:t>LEE ENTERPRISES, INCORPORATED</w:t>
      </w:r>
    </w:p>
    <w:p>
      <w:pPr>
        <w:spacing w:after="0" w:line="200" w:lineRule="exact"/>
        <w:rPr>
          <w:sz w:val="20"/>
          <w:szCs w:val="20"/>
          <w:color w:val="auto"/>
        </w:rPr>
      </w:pPr>
    </w:p>
    <w:p>
      <w:pPr>
        <w:spacing w:after="0" w:line="390" w:lineRule="exact"/>
        <w:rPr>
          <w:sz w:val="20"/>
          <w:szCs w:val="20"/>
          <w:color w:val="auto"/>
        </w:rPr>
      </w:pPr>
    </w:p>
    <w:p>
      <w:pPr>
        <w:ind w:left="20"/>
        <w:spacing w:after="0"/>
        <w:tabs>
          <w:tab w:leader="none" w:pos="680" w:val="left"/>
          <w:tab w:leader="none" w:pos="4340" w:val="left"/>
        </w:tabs>
        <w:rPr>
          <w:sz w:val="20"/>
          <w:szCs w:val="20"/>
          <w:color w:val="auto"/>
        </w:rPr>
      </w:pPr>
      <w:r>
        <w:rPr>
          <w:rFonts w:ascii="Arial" w:cs="Arial" w:eastAsia="Arial" w:hAnsi="Arial"/>
          <w:sz w:val="18"/>
          <w:szCs w:val="18"/>
          <w:color w:val="auto"/>
        </w:rPr>
        <w:t>Date:</w:t>
        <w:tab/>
        <w:t>April 7, 2026</w:t>
      </w:r>
      <w:r>
        <w:rPr>
          <w:sz w:val="20"/>
          <w:szCs w:val="20"/>
          <w:color w:val="auto"/>
        </w:rPr>
        <w:tab/>
      </w:r>
      <w:r>
        <w:rPr>
          <w:rFonts w:ascii="Arial" w:cs="Arial" w:eastAsia="Arial" w:hAnsi="Arial"/>
          <w:sz w:val="18"/>
          <w:szCs w:val="18"/>
          <w:color w:val="auto"/>
        </w:rPr>
        <w:t>By: /s/ Joshua P. Rinehults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2996565</wp:posOffset>
            </wp:positionH>
            <wp:positionV relativeFrom="paragraph">
              <wp:posOffset>26035</wp:posOffset>
            </wp:positionV>
            <wp:extent cx="400304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003040" cy="8255"/>
                    </a:xfrm>
                    <a:prstGeom prst="rect">
                      <a:avLst/>
                    </a:prstGeom>
                    <a:noFill/>
                  </pic:spPr>
                </pic:pic>
              </a:graphicData>
            </a:graphic>
          </wp:anchor>
        </w:drawing>
      </w:r>
    </w:p>
    <w:p>
      <w:pPr>
        <w:spacing w:after="0" w:line="43"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Joshua P. Rinehults</w:t>
      </w:r>
    </w:p>
    <w:p>
      <w:pPr>
        <w:spacing w:after="0" w:line="50"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Vice President, Interim Chief Financial Officer and Treasurer</w:t>
      </w:r>
    </w:p>
    <w:sectPr>
      <w:pgSz w:w="11900" w:h="16838" w:orient="portrait"/>
      <w:cols w:equalWidth="0" w:num="1">
        <w:col w:w="11060"/>
      </w:cols>
      <w:pgMar w:left="320" w:top="931" w:right="5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o"/>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2026-04-07T13:29:47Z</dcterms:created>
  <dcterms:modified xsi:type="dcterms:W3CDTF">2026-04-07T13:29:47Z</dcterms:modified>
</cp:coreProperties>
</file>