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60" w:right="7860" w:hanging="255"/>
        <w:spacing w:after="0" w:line="23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Veon, Greg R.</w:t>
      </w:r>
    </w:p>
    <w:p>
      <w:pPr>
        <w:spacing w:after="0" w:line="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520"/>
        <w:spacing w:after="0" w:line="259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Lee Enterprise, Incorporated 400 Putnam Building</w:t>
      </w:r>
    </w:p>
    <w:p>
      <w:pPr>
        <w:ind w:left="260" w:right="9200"/>
        <w:spacing w:after="0" w:line="238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215 N. Main Street Davenport, IA 52801 USA</w:t>
      </w:r>
    </w:p>
    <w:p>
      <w:pPr>
        <w:spacing w:after="0" w:line="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540" w:hanging="255"/>
        <w:spacing w:after="0" w:line="23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Lee Enterprises, Incorporated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LEE ENT</w:t>
      </w: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6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860" w:hanging="255"/>
        <w:spacing w:after="0" w:line="23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11/10/99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6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220" w:hanging="255"/>
        <w:spacing w:after="0" w:line="238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Vice-President-Publishing</w:t>
      </w: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ind w:left="580" w:hanging="327"/>
        <w:spacing w:after="0"/>
        <w:tabs>
          <w:tab w:leader="none" w:pos="58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0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48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 of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 |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10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 |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 Month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|10/28/|F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|V|355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|$29.313</w:t>
            </w:r>
          </w:p>
        </w:tc>
        <w:tc>
          <w:tcPr>
            <w:tcW w:w="13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|11/10/|A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|V|1,000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|$29.938</w:t>
            </w:r>
          </w:p>
        </w:tc>
        <w:tc>
          <w:tcPr>
            <w:tcW w:w="13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|27,713*</w:t>
            </w:r>
          </w:p>
        </w:tc>
        <w:tc>
          <w:tcPr>
            <w:tcW w:w="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</w:t>
            </w:r>
          </w:p>
        </w:tc>
        <w:tc>
          <w:tcPr>
            <w:tcW w:w="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|By Son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</w:t>
            </w:r>
          </w:p>
        </w:tc>
        <w:tc>
          <w:tcPr>
            <w:tcW w:w="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|By Son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|5,804</w:t>
            </w:r>
          </w:p>
        </w:tc>
        <w:tc>
          <w:tcPr>
            <w:tcW w:w="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0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|10.|11.Nature of|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|Transaction | rivative Secu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 |tive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 |cisa-|Date |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|Date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 Option |$11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|**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|11/7/|Common Stock|8,200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|8,200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 Option |$11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|**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|11/19|Common Stock|7,000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|7,000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|/01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 Option |$15.5625|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|**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|11/17|Common Stock|5,640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|5,640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|/02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 Option |$16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|**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|11/2/|Common Stock|4,000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|4,000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|03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Employee Stock Option |$16.625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|**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|10/31|Common Stock|3,000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|3,000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|/04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 Option |$19.8125|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|**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|11/7/|Common Stock|6,000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|6,000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|05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 Option |$21.50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|**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|11/7/|Common Stock|7,500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|7,500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|06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 Option |$26.6250|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|**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|11/3/|Common Stock|8,000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|8,000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|07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Employee Stock Option |$27.188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|**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|11/15|Common Stock|7,000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|7,000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|/08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Employee Stock Option |$29.938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|11/10|A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|V|15,000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|**</w:t>
            </w:r>
          </w:p>
        </w:tc>
        <w:tc>
          <w:tcPr>
            <w:tcW w:w="2740" w:type="dxa"/>
            <w:vAlign w:val="bottom"/>
            <w:gridSpan w:val="4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|11/9/|Common Stock|15,000 |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|15,000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|/99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|09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2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59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100"/>
          </w:cols>
          <w:pgMar w:left="440" w:top="223" w:right="359" w:bottom="0" w:gutter="0" w:footer="0" w:header="0"/>
        </w:sectPr>
      </w:pPr>
    </w:p>
    <w:bookmarkStart w:id="1" w:name="page2"/>
    <w:bookmarkEnd w:id="1"/>
    <w:p>
      <w:pPr>
        <w:ind w:right="3479" w:firstLine="5"/>
        <w:spacing w:after="0" w:line="237" w:lineRule="auto"/>
        <w:tabs>
          <w:tab w:leader="none" w:pos="331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Includes 12 shares of Common Stock acquired through Issuer's Employee Stock Purchase Plan Dividend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Reinvestment Plan.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right="4139"/>
        <w:spacing w:after="0" w:line="23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 These securities become exercisable as follows: 30% upon the first anniversary date of the grant; 60% upon the</w:t>
      </w:r>
    </w:p>
    <w:p>
      <w:pPr>
        <w:spacing w:after="0" w:line="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right="3559"/>
        <w:spacing w:after="0" w:line="23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second anniversary date of the grant; and 100% upon the third anniversary date of the grant.</w:t>
      </w:r>
    </w:p>
    <w:p>
      <w:pPr>
        <w:spacing w:after="0" w:line="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right="7619"/>
        <w:spacing w:after="0" w:line="23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/s/ Greg R. Veon</w:t>
      </w:r>
    </w:p>
    <w:p>
      <w:pPr>
        <w:spacing w:after="0" w:line="5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right="9519"/>
        <w:spacing w:after="0" w:line="272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DATE 2/3/00</w:t>
      </w:r>
    </w:p>
    <w:sectPr>
      <w:pgSz w:w="11900" w:h="16838" w:orient="portrait"/>
      <w:cols w:equalWidth="0" w:num="1">
        <w:col w:w="10019"/>
      </w:cols>
      <w:pgMar w:left="440" w:top="14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2020-10-06T04:57:42Z</dcterms:created>
  <dcterms:modified xsi:type="dcterms:W3CDTF">2020-10-06T04:57:42Z</dcterms:modified>
</cp:coreProperties>
</file>