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color w:val="auto"/>
        </w:rPr>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Washington, D.C. 20549</w:t>
      </w:r>
    </w:p>
    <w:p>
      <w:pPr>
        <w:spacing w:after="0" w:line="155"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386" w:lineRule="exact"/>
        <w:rPr>
          <w:sz w:val="24"/>
          <w:szCs w:val="24"/>
          <w:color w:val="auto"/>
        </w:rPr>
      </w:pPr>
    </w:p>
    <w:p>
      <w:pPr>
        <w:ind w:left="4780"/>
        <w:spacing w:after="0"/>
        <w:rPr>
          <w:sz w:val="20"/>
          <w:szCs w:val="20"/>
          <w:color w:val="auto"/>
        </w:rPr>
      </w:pPr>
      <w:r>
        <w:rPr>
          <w:rFonts w:ascii="Arial" w:cs="Arial" w:eastAsia="Arial" w:hAnsi="Arial"/>
          <w:sz w:val="18"/>
          <w:szCs w:val="18"/>
          <w:color w:val="auto"/>
        </w:rPr>
        <w:t>CURRENT REPORT</w:t>
      </w:r>
    </w:p>
    <w:p>
      <w:pPr>
        <w:spacing w:after="0" w:line="117" w:lineRule="exact"/>
        <w:rPr>
          <w:sz w:val="24"/>
          <w:szCs w:val="24"/>
          <w:color w:val="auto"/>
        </w:rPr>
      </w:pPr>
    </w:p>
    <w:p>
      <w:pPr>
        <w:ind w:left="3680"/>
        <w:spacing w:after="0"/>
        <w:rPr>
          <w:sz w:val="20"/>
          <w:szCs w:val="20"/>
          <w:color w:val="auto"/>
        </w:rPr>
      </w:pPr>
      <w:r>
        <w:rPr>
          <w:rFonts w:ascii="Arial" w:cs="Arial" w:eastAsia="Arial" w:hAnsi="Arial"/>
          <w:sz w:val="18"/>
          <w:szCs w:val="18"/>
          <w:color w:val="auto"/>
        </w:rPr>
        <w:t>PURSUANT TO SECTION 13 OR 15(d) OF THE</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SECURITIES EXCHANGE ACT OF 1934</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Report (Date of earliest event reported): May 5, 2025</w:t>
      </w:r>
    </w:p>
    <w:p>
      <w:pPr>
        <w:spacing w:after="0" w:line="9" w:lineRule="exact"/>
        <w:rPr>
          <w:sz w:val="24"/>
          <w:szCs w:val="24"/>
          <w:color w:val="auto"/>
        </w:rPr>
      </w:pPr>
    </w:p>
    <w:p>
      <w:pPr>
        <w:ind w:left="1280"/>
        <w:spacing w:after="0"/>
        <w:rPr>
          <w:sz w:val="20"/>
          <w:szCs w:val="20"/>
          <w:color w:val="auto"/>
        </w:rPr>
      </w:pPr>
      <w:r>
        <w:rPr>
          <w:rFonts w:ascii="Arial" w:cs="Arial" w:eastAsia="Arial" w:hAnsi="Arial"/>
          <w:sz w:val="18"/>
          <w:szCs w:val="18"/>
          <w:color w:val="auto"/>
        </w:rPr>
        <w:t>_______________________________________________________________________________________</w:t>
      </w:r>
    </w:p>
    <w:p>
      <w:pPr>
        <w:spacing w:after="0" w:line="94" w:lineRule="exact"/>
        <w:rPr>
          <w:sz w:val="24"/>
          <w:szCs w:val="24"/>
          <w:color w:val="auto"/>
        </w:rPr>
      </w:pPr>
    </w:p>
    <w:p>
      <w:pPr>
        <w:jc w:val="center"/>
        <w:spacing w:after="0"/>
        <w:rPr>
          <w:sz w:val="20"/>
          <w:szCs w:val="20"/>
          <w:color w:val="auto"/>
        </w:rPr>
      </w:pPr>
      <w:r>
        <w:rPr>
          <w:rFonts w:ascii="Arial" w:cs="Arial" w:eastAsia="Arial" w:hAnsi="Arial"/>
          <w:sz w:val="36"/>
          <w:szCs w:val="36"/>
          <w:b w:val="1"/>
          <w:bCs w:val="1"/>
          <w:color w:val="auto"/>
        </w:rPr>
        <w:t>LEE ENTERPRISES, INCORPORATED</w:t>
      </w:r>
    </w:p>
    <w:p>
      <w:pPr>
        <w:spacing w:after="0" w:line="4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9" w:lineRule="exact"/>
        <w:rPr>
          <w:sz w:val="24"/>
          <w:szCs w:val="24"/>
          <w:color w:val="auto"/>
        </w:rPr>
      </w:pPr>
    </w:p>
    <w:p>
      <w:pPr>
        <w:ind w:left="1280"/>
        <w:spacing w:after="0"/>
        <w:rPr>
          <w:sz w:val="20"/>
          <w:szCs w:val="20"/>
          <w:color w:val="auto"/>
        </w:rPr>
      </w:pPr>
      <w:r>
        <w:rPr>
          <w:rFonts w:ascii="Arial" w:cs="Arial" w:eastAsia="Arial" w:hAnsi="Arial"/>
          <w:sz w:val="18"/>
          <w:szCs w:val="18"/>
          <w:color w:val="auto"/>
        </w:rPr>
        <w:t>_______________________________________________________________________________________</w:t>
      </w:r>
    </w:p>
    <w:p>
      <w:pPr>
        <w:spacing w:after="0" w:line="153" w:lineRule="exact"/>
        <w:rPr>
          <w:sz w:val="24"/>
          <w:szCs w:val="24"/>
          <w:color w:val="auto"/>
        </w:rPr>
      </w:pPr>
    </w:p>
    <w:tbl>
      <w:tblPr>
        <w:tblLayout w:type="fixed"/>
        <w:tblInd w:w="0" w:type="dxa"/>
        <w:tblCellMar>
          <w:top w:w="0" w:type="dxa"/>
          <w:left w:w="0" w:type="dxa"/>
          <w:bottom w:w="0" w:type="dxa"/>
          <w:right w:w="0" w:type="dxa"/>
        </w:tblCellMar>
      </w:tblPr>
      <w:tr>
        <w:trPr>
          <w:trHeight w:val="239"/>
        </w:trPr>
        <w:tc>
          <w:tcPr>
            <w:tcW w:w="3540" w:type="dxa"/>
            <w:vAlign w:val="bottom"/>
          </w:tcPr>
          <w:p>
            <w:pPr>
              <w:jc w:val="center"/>
              <w:ind w:left="130"/>
              <w:spacing w:after="0"/>
              <w:rPr>
                <w:sz w:val="20"/>
                <w:szCs w:val="20"/>
                <w:color w:val="auto"/>
              </w:rPr>
            </w:pPr>
            <w:r>
              <w:rPr>
                <w:rFonts w:ascii="Arial" w:cs="Arial" w:eastAsia="Arial" w:hAnsi="Arial"/>
                <w:sz w:val="18"/>
                <w:szCs w:val="18"/>
                <w:color w:val="auto"/>
                <w:w w:val="99"/>
              </w:rPr>
              <w:t>Delaware</w:t>
            </w:r>
          </w:p>
        </w:tc>
        <w:tc>
          <w:tcPr>
            <w:tcW w:w="4140" w:type="dxa"/>
            <w:vAlign w:val="bottom"/>
          </w:tcPr>
          <w:p>
            <w:pPr>
              <w:jc w:val="right"/>
              <w:ind w:right="1690"/>
              <w:spacing w:after="0"/>
              <w:rPr>
                <w:sz w:val="20"/>
                <w:szCs w:val="20"/>
                <w:color w:val="auto"/>
              </w:rPr>
            </w:pPr>
            <w:r>
              <w:rPr>
                <w:rFonts w:ascii="Arial" w:cs="Arial" w:eastAsia="Arial" w:hAnsi="Arial"/>
                <w:sz w:val="18"/>
                <w:szCs w:val="18"/>
                <w:color w:val="auto"/>
              </w:rPr>
              <w:t>1-6227</w:t>
            </w:r>
          </w:p>
        </w:tc>
        <w:tc>
          <w:tcPr>
            <w:tcW w:w="3560" w:type="dxa"/>
            <w:vAlign w:val="bottom"/>
          </w:tcPr>
          <w:p>
            <w:pPr>
              <w:jc w:val="center"/>
              <w:ind w:right="110"/>
              <w:spacing w:after="0"/>
              <w:rPr>
                <w:sz w:val="20"/>
                <w:szCs w:val="20"/>
                <w:color w:val="auto"/>
              </w:rPr>
            </w:pPr>
            <w:r>
              <w:rPr>
                <w:rFonts w:ascii="Arial" w:cs="Arial" w:eastAsia="Arial" w:hAnsi="Arial"/>
                <w:sz w:val="18"/>
                <w:szCs w:val="18"/>
                <w:color w:val="auto"/>
                <w:w w:val="99"/>
              </w:rPr>
              <w:t>42-0823980</w:t>
            </w:r>
          </w:p>
        </w:tc>
      </w:tr>
      <w:tr>
        <w:trPr>
          <w:trHeight w:val="257"/>
        </w:trPr>
        <w:tc>
          <w:tcPr>
            <w:tcW w:w="3540" w:type="dxa"/>
            <w:vAlign w:val="bottom"/>
          </w:tcPr>
          <w:p>
            <w:pPr>
              <w:jc w:val="center"/>
              <w:ind w:left="130"/>
              <w:spacing w:after="0"/>
              <w:rPr>
                <w:sz w:val="20"/>
                <w:szCs w:val="20"/>
                <w:color w:val="auto"/>
              </w:rPr>
            </w:pPr>
            <w:r>
              <w:rPr>
                <w:rFonts w:ascii="Arial" w:cs="Arial" w:eastAsia="Arial" w:hAnsi="Arial"/>
                <w:sz w:val="18"/>
                <w:szCs w:val="18"/>
                <w:color w:val="auto"/>
                <w:w w:val="99"/>
              </w:rPr>
              <w:t>(State of Incorporation)</w:t>
            </w:r>
          </w:p>
        </w:tc>
        <w:tc>
          <w:tcPr>
            <w:tcW w:w="4140" w:type="dxa"/>
            <w:vAlign w:val="bottom"/>
          </w:tcPr>
          <w:p>
            <w:pPr>
              <w:jc w:val="center"/>
              <w:spacing w:after="0"/>
              <w:rPr>
                <w:sz w:val="20"/>
                <w:szCs w:val="20"/>
                <w:color w:val="auto"/>
              </w:rPr>
            </w:pPr>
            <w:r>
              <w:rPr>
                <w:rFonts w:ascii="Arial" w:cs="Arial" w:eastAsia="Arial" w:hAnsi="Arial"/>
                <w:sz w:val="18"/>
                <w:szCs w:val="18"/>
                <w:color w:val="auto"/>
                <w:w w:val="99"/>
              </w:rPr>
              <w:t>(Commission File Number)</w:t>
            </w:r>
          </w:p>
        </w:tc>
        <w:tc>
          <w:tcPr>
            <w:tcW w:w="3560" w:type="dxa"/>
            <w:vAlign w:val="bottom"/>
          </w:tcPr>
          <w:p>
            <w:pPr>
              <w:jc w:val="center"/>
              <w:ind w:right="110"/>
              <w:spacing w:after="0"/>
              <w:rPr>
                <w:sz w:val="20"/>
                <w:szCs w:val="20"/>
                <w:color w:val="auto"/>
              </w:rPr>
            </w:pPr>
            <w:r>
              <w:rPr>
                <w:rFonts w:ascii="Arial" w:cs="Arial" w:eastAsia="Arial" w:hAnsi="Arial"/>
                <w:sz w:val="18"/>
                <w:szCs w:val="18"/>
                <w:color w:val="auto"/>
                <w:w w:val="99"/>
              </w:rPr>
              <w:t>(I.R.S. Employer Identification No.)</w:t>
            </w:r>
          </w:p>
        </w:tc>
      </w:tr>
      <w:tr>
        <w:trPr>
          <w:trHeight w:val="527"/>
        </w:trPr>
        <w:tc>
          <w:tcPr>
            <w:tcW w:w="3540" w:type="dxa"/>
            <w:vAlign w:val="bottom"/>
          </w:tcPr>
          <w:p>
            <w:pPr>
              <w:spacing w:after="0"/>
              <w:rPr>
                <w:sz w:val="24"/>
                <w:szCs w:val="24"/>
                <w:color w:val="auto"/>
              </w:rPr>
            </w:pPr>
          </w:p>
        </w:tc>
        <w:tc>
          <w:tcPr>
            <w:tcW w:w="4140" w:type="dxa"/>
            <w:vAlign w:val="bottom"/>
          </w:tcPr>
          <w:p>
            <w:pPr>
              <w:jc w:val="center"/>
              <w:spacing w:after="0"/>
              <w:rPr>
                <w:sz w:val="20"/>
                <w:szCs w:val="20"/>
                <w:color w:val="auto"/>
              </w:rPr>
            </w:pPr>
            <w:r>
              <w:rPr>
                <w:rFonts w:ascii="Arial" w:cs="Arial" w:eastAsia="Arial" w:hAnsi="Arial"/>
                <w:sz w:val="18"/>
                <w:szCs w:val="18"/>
                <w:color w:val="auto"/>
                <w:w w:val="99"/>
              </w:rPr>
              <w:t>4600 E. 53rd Street, Davenport, Iowa 52807</w:t>
            </w:r>
          </w:p>
        </w:tc>
        <w:tc>
          <w:tcPr>
            <w:tcW w:w="3560" w:type="dxa"/>
            <w:vAlign w:val="bottom"/>
          </w:tcPr>
          <w:p>
            <w:pPr>
              <w:spacing w:after="0"/>
              <w:rPr>
                <w:sz w:val="24"/>
                <w:szCs w:val="24"/>
                <w:color w:val="auto"/>
              </w:rPr>
            </w:pPr>
          </w:p>
        </w:tc>
      </w:tr>
      <w:tr>
        <w:trPr>
          <w:trHeight w:val="256"/>
        </w:trPr>
        <w:tc>
          <w:tcPr>
            <w:tcW w:w="3540" w:type="dxa"/>
            <w:vAlign w:val="bottom"/>
          </w:tcPr>
          <w:p>
            <w:pPr>
              <w:spacing w:after="0"/>
              <w:rPr>
                <w:sz w:val="22"/>
                <w:szCs w:val="22"/>
                <w:color w:val="auto"/>
              </w:rPr>
            </w:pPr>
          </w:p>
        </w:tc>
        <w:tc>
          <w:tcPr>
            <w:tcW w:w="4140" w:type="dxa"/>
            <w:vAlign w:val="bottom"/>
          </w:tcPr>
          <w:p>
            <w:pPr>
              <w:jc w:val="center"/>
              <w:spacing w:after="0"/>
              <w:rPr>
                <w:sz w:val="20"/>
                <w:szCs w:val="20"/>
                <w:color w:val="auto"/>
              </w:rPr>
            </w:pPr>
            <w:r>
              <w:rPr>
                <w:rFonts w:ascii="Arial" w:cs="Arial" w:eastAsia="Arial" w:hAnsi="Arial"/>
                <w:sz w:val="18"/>
                <w:szCs w:val="18"/>
                <w:color w:val="auto"/>
                <w:w w:val="99"/>
              </w:rPr>
              <w:t>(Address of Principal Executive Offices)</w:t>
            </w:r>
          </w:p>
        </w:tc>
        <w:tc>
          <w:tcPr>
            <w:tcW w:w="3560" w:type="dxa"/>
            <w:vAlign w:val="bottom"/>
          </w:tcPr>
          <w:p>
            <w:pPr>
              <w:spacing w:after="0"/>
              <w:rPr>
                <w:sz w:val="22"/>
                <w:szCs w:val="22"/>
                <w:color w:val="auto"/>
              </w:rPr>
            </w:pPr>
          </w:p>
        </w:tc>
      </w:tr>
      <w:tr>
        <w:trPr>
          <w:trHeight w:val="513"/>
        </w:trPr>
        <w:tc>
          <w:tcPr>
            <w:tcW w:w="3540" w:type="dxa"/>
            <w:vAlign w:val="bottom"/>
          </w:tcPr>
          <w:p>
            <w:pPr>
              <w:spacing w:after="0"/>
              <w:rPr>
                <w:sz w:val="24"/>
                <w:szCs w:val="24"/>
                <w:color w:val="auto"/>
              </w:rPr>
            </w:pPr>
          </w:p>
        </w:tc>
        <w:tc>
          <w:tcPr>
            <w:tcW w:w="4140" w:type="dxa"/>
            <w:vAlign w:val="bottom"/>
          </w:tcPr>
          <w:p>
            <w:pPr>
              <w:jc w:val="right"/>
              <w:ind w:right="1370"/>
              <w:spacing w:after="0"/>
              <w:rPr>
                <w:sz w:val="20"/>
                <w:szCs w:val="20"/>
                <w:color w:val="auto"/>
              </w:rPr>
            </w:pPr>
            <w:r>
              <w:rPr>
                <w:rFonts w:ascii="Arial" w:cs="Arial" w:eastAsia="Arial" w:hAnsi="Arial"/>
                <w:sz w:val="18"/>
                <w:szCs w:val="18"/>
                <w:color w:val="auto"/>
              </w:rPr>
              <w:t>(563) 383-2100</w:t>
            </w:r>
          </w:p>
        </w:tc>
        <w:tc>
          <w:tcPr>
            <w:tcW w:w="3560" w:type="dxa"/>
            <w:vAlign w:val="bottom"/>
          </w:tcPr>
          <w:p>
            <w:pPr>
              <w:spacing w:after="0"/>
              <w:rPr>
                <w:sz w:val="24"/>
                <w:szCs w:val="24"/>
                <w:color w:val="auto"/>
              </w:rPr>
            </w:pPr>
          </w:p>
        </w:tc>
      </w:tr>
      <w:tr>
        <w:trPr>
          <w:trHeight w:val="247"/>
        </w:trPr>
        <w:tc>
          <w:tcPr>
            <w:tcW w:w="3540" w:type="dxa"/>
            <w:vAlign w:val="bottom"/>
          </w:tcPr>
          <w:p>
            <w:pPr>
              <w:spacing w:after="0"/>
              <w:rPr>
                <w:sz w:val="21"/>
                <w:szCs w:val="21"/>
                <w:color w:val="auto"/>
              </w:rPr>
            </w:pPr>
          </w:p>
        </w:tc>
        <w:tc>
          <w:tcPr>
            <w:tcW w:w="4140" w:type="dxa"/>
            <w:vAlign w:val="bottom"/>
          </w:tcPr>
          <w:p>
            <w:pPr>
              <w:jc w:val="center"/>
              <w:spacing w:after="0"/>
              <w:rPr>
                <w:sz w:val="20"/>
                <w:szCs w:val="20"/>
                <w:color w:val="auto"/>
              </w:rPr>
            </w:pPr>
            <w:r>
              <w:rPr>
                <w:rFonts w:ascii="Arial" w:cs="Arial" w:eastAsia="Arial" w:hAnsi="Arial"/>
                <w:sz w:val="18"/>
                <w:szCs w:val="18"/>
                <w:color w:val="auto"/>
                <w:w w:val="99"/>
              </w:rPr>
              <w:t>Registrant’s telephone number, including area</w:t>
            </w:r>
          </w:p>
        </w:tc>
        <w:tc>
          <w:tcPr>
            <w:tcW w:w="3560" w:type="dxa"/>
            <w:vAlign w:val="bottom"/>
          </w:tcPr>
          <w:p>
            <w:pPr>
              <w:spacing w:after="0"/>
              <w:rPr>
                <w:sz w:val="21"/>
                <w:szCs w:val="21"/>
                <w:color w:val="auto"/>
              </w:rPr>
            </w:pPr>
          </w:p>
        </w:tc>
      </w:tr>
      <w:tr>
        <w:trPr>
          <w:trHeight w:val="239"/>
        </w:trPr>
        <w:tc>
          <w:tcPr>
            <w:tcW w:w="3540" w:type="dxa"/>
            <w:vAlign w:val="bottom"/>
          </w:tcPr>
          <w:p>
            <w:pPr>
              <w:spacing w:after="0"/>
              <w:rPr>
                <w:sz w:val="20"/>
                <w:szCs w:val="20"/>
                <w:color w:val="auto"/>
              </w:rPr>
            </w:pPr>
          </w:p>
        </w:tc>
        <w:tc>
          <w:tcPr>
            <w:tcW w:w="4140" w:type="dxa"/>
            <w:vAlign w:val="bottom"/>
          </w:tcPr>
          <w:p>
            <w:pPr>
              <w:jc w:val="center"/>
              <w:spacing w:after="0"/>
              <w:rPr>
                <w:sz w:val="20"/>
                <w:szCs w:val="20"/>
                <w:color w:val="auto"/>
              </w:rPr>
            </w:pPr>
            <w:r>
              <w:rPr>
                <w:rFonts w:ascii="Arial" w:cs="Arial" w:eastAsia="Arial" w:hAnsi="Arial"/>
                <w:sz w:val="18"/>
                <w:szCs w:val="18"/>
                <w:color w:val="auto"/>
                <w:w w:val="97"/>
              </w:rPr>
              <w:t>code</w:t>
            </w:r>
          </w:p>
        </w:tc>
        <w:tc>
          <w:tcPr>
            <w:tcW w:w="3560" w:type="dxa"/>
            <w:vAlign w:val="bottom"/>
          </w:tcPr>
          <w:p>
            <w:pPr>
              <w:spacing w:after="0"/>
              <w:rPr>
                <w:sz w:val="20"/>
                <w:szCs w:val="20"/>
                <w:color w:val="auto"/>
              </w:rPr>
            </w:pPr>
          </w:p>
        </w:tc>
      </w:tr>
      <w:tr>
        <w:trPr>
          <w:trHeight w:val="345"/>
        </w:trPr>
        <w:tc>
          <w:tcPr>
            <w:tcW w:w="7680" w:type="dxa"/>
            <w:vAlign w:val="bottom"/>
            <w:gridSpan w:val="2"/>
          </w:tcPr>
          <w:p>
            <w:pPr>
              <w:spacing w:after="0"/>
              <w:rPr>
                <w:sz w:val="20"/>
                <w:szCs w:val="20"/>
                <w:color w:val="auto"/>
              </w:rPr>
            </w:pPr>
            <w:r>
              <w:rPr>
                <w:rFonts w:ascii="Arial" w:cs="Arial" w:eastAsia="Arial" w:hAnsi="Arial"/>
                <w:sz w:val="18"/>
                <w:szCs w:val="18"/>
                <w:b w:val="1"/>
                <w:bCs w:val="1"/>
                <w:color w:val="auto"/>
              </w:rPr>
              <w:t>Securities registered pursuant to Section 12(b) of the Act:</w:t>
            </w:r>
          </w:p>
        </w:tc>
        <w:tc>
          <w:tcPr>
            <w:tcW w:w="3560" w:type="dxa"/>
            <w:vAlign w:val="bottom"/>
          </w:tcPr>
          <w:p>
            <w:pPr>
              <w:spacing w:after="0"/>
              <w:rPr>
                <w:sz w:val="24"/>
                <w:szCs w:val="24"/>
                <w:color w:val="auto"/>
              </w:rPr>
            </w:pPr>
          </w:p>
        </w:tc>
      </w:tr>
      <w:tr>
        <w:trPr>
          <w:trHeight w:val="334"/>
        </w:trPr>
        <w:tc>
          <w:tcPr>
            <w:tcW w:w="3540" w:type="dxa"/>
            <w:vAlign w:val="bottom"/>
          </w:tcPr>
          <w:p>
            <w:pPr>
              <w:jc w:val="center"/>
              <w:ind w:left="110"/>
              <w:spacing w:after="0"/>
              <w:rPr>
                <w:sz w:val="20"/>
                <w:szCs w:val="20"/>
                <w:color w:val="auto"/>
              </w:rPr>
            </w:pPr>
            <w:r>
              <w:rPr>
                <w:rFonts w:ascii="Arial" w:cs="Arial" w:eastAsia="Arial" w:hAnsi="Arial"/>
                <w:sz w:val="18"/>
                <w:szCs w:val="18"/>
                <w:b w:val="1"/>
                <w:bCs w:val="1"/>
                <w:color w:val="auto"/>
                <w:w w:val="99"/>
              </w:rPr>
              <w:t>Title of each class</w:t>
            </w:r>
          </w:p>
        </w:tc>
        <w:tc>
          <w:tcPr>
            <w:tcW w:w="4140" w:type="dxa"/>
            <w:vAlign w:val="bottom"/>
          </w:tcPr>
          <w:p>
            <w:pPr>
              <w:jc w:val="center"/>
              <w:spacing w:after="0"/>
              <w:rPr>
                <w:sz w:val="20"/>
                <w:szCs w:val="20"/>
                <w:color w:val="auto"/>
              </w:rPr>
            </w:pPr>
            <w:r>
              <w:rPr>
                <w:rFonts w:ascii="Arial" w:cs="Arial" w:eastAsia="Arial" w:hAnsi="Arial"/>
                <w:sz w:val="18"/>
                <w:szCs w:val="18"/>
                <w:b w:val="1"/>
                <w:bCs w:val="1"/>
                <w:color w:val="auto"/>
                <w:w w:val="99"/>
              </w:rPr>
              <w:t>Trading Symbol(s)</w:t>
            </w:r>
          </w:p>
        </w:tc>
        <w:tc>
          <w:tcPr>
            <w:tcW w:w="3560" w:type="dxa"/>
            <w:vAlign w:val="bottom"/>
          </w:tcPr>
          <w:p>
            <w:pPr>
              <w:jc w:val="center"/>
              <w:ind w:right="110"/>
              <w:spacing w:after="0"/>
              <w:rPr>
                <w:sz w:val="20"/>
                <w:szCs w:val="20"/>
                <w:color w:val="auto"/>
              </w:rPr>
            </w:pPr>
            <w:r>
              <w:rPr>
                <w:rFonts w:ascii="Arial" w:cs="Arial" w:eastAsia="Arial" w:hAnsi="Arial"/>
                <w:sz w:val="18"/>
                <w:szCs w:val="18"/>
                <w:b w:val="1"/>
                <w:bCs w:val="1"/>
                <w:color w:val="auto"/>
                <w:w w:val="99"/>
              </w:rPr>
              <w:t>Name of each exchange on which</w:t>
            </w:r>
          </w:p>
        </w:tc>
      </w:tr>
      <w:tr>
        <w:trPr>
          <w:trHeight w:val="248"/>
        </w:trPr>
        <w:tc>
          <w:tcPr>
            <w:tcW w:w="3540" w:type="dxa"/>
            <w:vAlign w:val="bottom"/>
            <w:tcBorders>
              <w:bottom w:val="single" w:sz="8" w:color="auto"/>
            </w:tcBorders>
          </w:tcPr>
          <w:p>
            <w:pPr>
              <w:spacing w:after="0"/>
              <w:rPr>
                <w:sz w:val="21"/>
                <w:szCs w:val="21"/>
                <w:color w:val="auto"/>
              </w:rPr>
            </w:pPr>
          </w:p>
        </w:tc>
        <w:tc>
          <w:tcPr>
            <w:tcW w:w="4140" w:type="dxa"/>
            <w:vAlign w:val="bottom"/>
            <w:tcBorders>
              <w:bottom w:val="single" w:sz="8" w:color="auto"/>
            </w:tcBorders>
          </w:tcPr>
          <w:p>
            <w:pPr>
              <w:spacing w:after="0"/>
              <w:rPr>
                <w:sz w:val="21"/>
                <w:szCs w:val="21"/>
                <w:color w:val="auto"/>
              </w:rPr>
            </w:pPr>
          </w:p>
        </w:tc>
        <w:tc>
          <w:tcPr>
            <w:tcW w:w="356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rPr>
              <w:t>registered</w:t>
            </w:r>
          </w:p>
        </w:tc>
      </w:tr>
      <w:tr>
        <w:trPr>
          <w:trHeight w:val="241"/>
        </w:trPr>
        <w:tc>
          <w:tcPr>
            <w:tcW w:w="3540" w:type="dxa"/>
            <w:vAlign w:val="bottom"/>
          </w:tcPr>
          <w:p>
            <w:pPr>
              <w:ind w:left="20"/>
              <w:spacing w:after="0"/>
              <w:rPr>
                <w:sz w:val="20"/>
                <w:szCs w:val="20"/>
                <w:color w:val="auto"/>
              </w:rPr>
            </w:pPr>
            <w:r>
              <w:rPr>
                <w:rFonts w:ascii="Arial" w:cs="Arial" w:eastAsia="Arial" w:hAnsi="Arial"/>
                <w:sz w:val="18"/>
                <w:szCs w:val="18"/>
                <w:color w:val="auto"/>
              </w:rPr>
              <w:t>Common Stock, par value $.01 per share</w:t>
            </w:r>
          </w:p>
        </w:tc>
        <w:tc>
          <w:tcPr>
            <w:tcW w:w="4140" w:type="dxa"/>
            <w:vAlign w:val="bottom"/>
          </w:tcPr>
          <w:p>
            <w:pPr>
              <w:jc w:val="center"/>
              <w:spacing w:after="0"/>
              <w:rPr>
                <w:sz w:val="20"/>
                <w:szCs w:val="20"/>
                <w:color w:val="auto"/>
              </w:rPr>
            </w:pPr>
            <w:r>
              <w:rPr>
                <w:rFonts w:ascii="Arial" w:cs="Arial" w:eastAsia="Arial" w:hAnsi="Arial"/>
                <w:sz w:val="18"/>
                <w:szCs w:val="18"/>
                <w:color w:val="auto"/>
                <w:w w:val="99"/>
              </w:rPr>
              <w:t>LEE</w:t>
            </w:r>
          </w:p>
        </w:tc>
        <w:tc>
          <w:tcPr>
            <w:tcW w:w="3560" w:type="dxa"/>
            <w:vAlign w:val="bottom"/>
          </w:tcPr>
          <w:p>
            <w:pPr>
              <w:jc w:val="center"/>
              <w:ind w:right="90"/>
              <w:spacing w:after="0"/>
              <w:rPr>
                <w:sz w:val="20"/>
                <w:szCs w:val="20"/>
                <w:color w:val="auto"/>
              </w:rPr>
            </w:pPr>
            <w:r>
              <w:rPr>
                <w:rFonts w:ascii="Arial" w:cs="Arial" w:eastAsia="Arial" w:hAnsi="Arial"/>
                <w:sz w:val="18"/>
                <w:szCs w:val="18"/>
                <w:color w:val="auto"/>
                <w:w w:val="99"/>
              </w:rPr>
              <w:t>The Nasdaq Global Select Market</w:t>
            </w:r>
          </w:p>
        </w:tc>
      </w:tr>
      <w:tr>
        <w:trPr>
          <w:trHeight w:val="257"/>
        </w:trPr>
        <w:tc>
          <w:tcPr>
            <w:tcW w:w="3540" w:type="dxa"/>
            <w:vAlign w:val="bottom"/>
          </w:tcPr>
          <w:p>
            <w:pPr>
              <w:ind w:left="20"/>
              <w:spacing w:after="0"/>
              <w:rPr>
                <w:sz w:val="20"/>
                <w:szCs w:val="20"/>
                <w:color w:val="auto"/>
              </w:rPr>
            </w:pPr>
            <w:r>
              <w:rPr>
                <w:rFonts w:ascii="Arial" w:cs="Arial" w:eastAsia="Arial" w:hAnsi="Arial"/>
                <w:sz w:val="18"/>
                <w:szCs w:val="18"/>
                <w:color w:val="auto"/>
              </w:rPr>
              <w:t>Preferred Share Purchase Rights</w:t>
            </w:r>
          </w:p>
        </w:tc>
        <w:tc>
          <w:tcPr>
            <w:tcW w:w="4140" w:type="dxa"/>
            <w:vAlign w:val="bottom"/>
          </w:tcPr>
          <w:p>
            <w:pPr>
              <w:jc w:val="center"/>
              <w:spacing w:after="0"/>
              <w:rPr>
                <w:sz w:val="20"/>
                <w:szCs w:val="20"/>
                <w:color w:val="auto"/>
              </w:rPr>
            </w:pPr>
            <w:r>
              <w:rPr>
                <w:rFonts w:ascii="Arial" w:cs="Arial" w:eastAsia="Arial" w:hAnsi="Arial"/>
                <w:sz w:val="18"/>
                <w:szCs w:val="18"/>
                <w:color w:val="auto"/>
                <w:w w:val="99"/>
              </w:rPr>
              <w:t>LEE</w:t>
            </w:r>
          </w:p>
        </w:tc>
        <w:tc>
          <w:tcPr>
            <w:tcW w:w="3560" w:type="dxa"/>
            <w:vAlign w:val="bottom"/>
          </w:tcPr>
          <w:p>
            <w:pPr>
              <w:jc w:val="center"/>
              <w:ind w:right="90"/>
              <w:spacing w:after="0"/>
              <w:rPr>
                <w:sz w:val="20"/>
                <w:szCs w:val="20"/>
                <w:color w:val="auto"/>
              </w:rPr>
            </w:pPr>
            <w:r>
              <w:rPr>
                <w:rFonts w:ascii="Arial" w:cs="Arial" w:eastAsia="Arial" w:hAnsi="Arial"/>
                <w:sz w:val="18"/>
                <w:szCs w:val="18"/>
                <w:color w:val="auto"/>
                <w:w w:val="99"/>
              </w:rPr>
              <w:t>The Nasdaq Global Select Market</w:t>
            </w:r>
          </w:p>
        </w:tc>
      </w:tr>
    </w:tbl>
    <w:p>
      <w:pPr>
        <w:spacing w:after="0" w:line="180" w:lineRule="exact"/>
        <w:rPr>
          <w:sz w:val="24"/>
          <w:szCs w:val="24"/>
          <w:color w:val="auto"/>
        </w:rPr>
      </w:pPr>
    </w:p>
    <w:p>
      <w:pPr>
        <w:jc w:val="both"/>
        <w:spacing w:after="0" w:line="28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99" w:lineRule="exact"/>
        <w:rPr>
          <w:sz w:val="24"/>
          <w:szCs w:val="24"/>
          <w:color w:val="auto"/>
        </w:rPr>
      </w:pPr>
    </w:p>
    <w:p>
      <w:pPr>
        <w:ind w:left="360" w:hanging="334"/>
        <w:spacing w:after="0"/>
        <w:tabs>
          <w:tab w:leader="none" w:pos="360" w:val="left"/>
        </w:tabs>
        <w:numPr>
          <w:ilvl w:val="0"/>
          <w:numId w:val="1"/>
        </w:numPr>
        <w:rPr>
          <w:rFonts w:ascii="Wingdings" w:cs="Wingdings" w:eastAsia="Wingdings" w:hAnsi="Wingdings"/>
          <w:sz w:val="18"/>
          <w:szCs w:val="18"/>
          <w:b w:val="1"/>
          <w:bCs w:val="1"/>
          <w:color w:val="auto"/>
        </w:rPr>
      </w:pPr>
      <w:r>
        <w:rPr>
          <w:rFonts w:ascii="Arial" w:cs="Arial" w:eastAsia="Arial" w:hAnsi="Arial"/>
          <w:sz w:val="18"/>
          <w:szCs w:val="18"/>
          <w:color w:val="auto"/>
        </w:rPr>
        <w:t>Written communications pursuant to Rule 425 under the Securities Act (17 CFR 230.425)</w:t>
      </w:r>
    </w:p>
    <w:p>
      <w:pPr>
        <w:spacing w:after="0" w:line="157" w:lineRule="exact"/>
        <w:rPr>
          <w:rFonts w:ascii="Wingdings" w:cs="Wingdings" w:eastAsia="Wingdings" w:hAnsi="Wingdings"/>
          <w:sz w:val="18"/>
          <w:szCs w:val="18"/>
          <w:b w:val="1"/>
          <w:bCs w:val="1"/>
          <w:color w:val="auto"/>
        </w:rPr>
      </w:pPr>
    </w:p>
    <w:p>
      <w:pPr>
        <w:ind w:left="360" w:hanging="334"/>
        <w:spacing w:after="0"/>
        <w:tabs>
          <w:tab w:leader="none" w:pos="360" w:val="left"/>
        </w:tabs>
        <w:numPr>
          <w:ilvl w:val="0"/>
          <w:numId w:val="1"/>
        </w:numPr>
        <w:rPr>
          <w:rFonts w:ascii="Wingdings" w:cs="Wingdings" w:eastAsia="Wingdings" w:hAnsi="Wingdings"/>
          <w:sz w:val="18"/>
          <w:szCs w:val="18"/>
          <w:b w:val="1"/>
          <w:bCs w:val="1"/>
          <w:color w:val="auto"/>
        </w:rPr>
      </w:pPr>
      <w:r>
        <w:rPr>
          <w:rFonts w:ascii="Arial" w:cs="Arial" w:eastAsia="Arial" w:hAnsi="Arial"/>
          <w:sz w:val="18"/>
          <w:szCs w:val="18"/>
          <w:color w:val="auto"/>
        </w:rPr>
        <w:t>Soliciting material pursuant to Rule 14a-12 under the Exchange Act (17 CFR 240.14a-12)</w:t>
      </w:r>
    </w:p>
    <w:p>
      <w:pPr>
        <w:spacing w:after="0" w:line="157" w:lineRule="exact"/>
        <w:rPr>
          <w:rFonts w:ascii="Wingdings" w:cs="Wingdings" w:eastAsia="Wingdings" w:hAnsi="Wingdings"/>
          <w:sz w:val="18"/>
          <w:szCs w:val="18"/>
          <w:b w:val="1"/>
          <w:bCs w:val="1"/>
          <w:color w:val="auto"/>
        </w:rPr>
      </w:pPr>
    </w:p>
    <w:p>
      <w:pPr>
        <w:ind w:left="360" w:hanging="334"/>
        <w:spacing w:after="0"/>
        <w:tabs>
          <w:tab w:leader="none" w:pos="360" w:val="left"/>
        </w:tabs>
        <w:numPr>
          <w:ilvl w:val="0"/>
          <w:numId w:val="1"/>
        </w:numPr>
        <w:rPr>
          <w:rFonts w:ascii="Wingdings" w:cs="Wingdings" w:eastAsia="Wingdings" w:hAnsi="Wingdings"/>
          <w:sz w:val="18"/>
          <w:szCs w:val="18"/>
          <w:b w:val="1"/>
          <w:bCs w:val="1"/>
          <w:color w:val="auto"/>
        </w:rPr>
      </w:pPr>
      <w:r>
        <w:rPr>
          <w:rFonts w:ascii="Arial" w:cs="Arial" w:eastAsia="Arial" w:hAnsi="Arial"/>
          <w:sz w:val="18"/>
          <w:szCs w:val="18"/>
          <w:color w:val="auto"/>
        </w:rPr>
        <w:t>Pre-commencement communications pursuant to Rule 14d-2(b) under the Exchange Act (17 CFR 240.14d-2(b))</w:t>
      </w:r>
    </w:p>
    <w:p>
      <w:pPr>
        <w:spacing w:after="0" w:line="157" w:lineRule="exact"/>
        <w:rPr>
          <w:rFonts w:ascii="Wingdings" w:cs="Wingdings" w:eastAsia="Wingdings" w:hAnsi="Wingdings"/>
          <w:sz w:val="18"/>
          <w:szCs w:val="18"/>
          <w:b w:val="1"/>
          <w:bCs w:val="1"/>
          <w:color w:val="auto"/>
        </w:rPr>
      </w:pPr>
    </w:p>
    <w:p>
      <w:pPr>
        <w:ind w:left="360" w:hanging="334"/>
        <w:spacing w:after="0"/>
        <w:tabs>
          <w:tab w:leader="none" w:pos="360" w:val="left"/>
        </w:tabs>
        <w:numPr>
          <w:ilvl w:val="0"/>
          <w:numId w:val="1"/>
        </w:numPr>
        <w:rPr>
          <w:rFonts w:ascii="Wingdings" w:cs="Wingdings" w:eastAsia="Wingdings" w:hAnsi="Wingdings"/>
          <w:sz w:val="18"/>
          <w:szCs w:val="18"/>
          <w:b w:val="1"/>
          <w:bCs w:val="1"/>
          <w:color w:val="auto"/>
        </w:rPr>
      </w:pPr>
      <w:r>
        <w:rPr>
          <w:rFonts w:ascii="Arial" w:cs="Arial" w:eastAsia="Arial" w:hAnsi="Arial"/>
          <w:sz w:val="18"/>
          <w:szCs w:val="18"/>
          <w:color w:val="auto"/>
        </w:rPr>
        <w:t>Pre-commencement communications pursuant to Rule 13e-4(c) under the Exchange Act (17 CFR 240.13e-4(c))</w:t>
      </w:r>
    </w:p>
    <w:p>
      <w:pPr>
        <w:spacing w:after="0" w:line="293" w:lineRule="exact"/>
        <w:rPr>
          <w:sz w:val="24"/>
          <w:szCs w:val="24"/>
          <w:color w:val="auto"/>
        </w:rPr>
      </w:pPr>
    </w:p>
    <w:p>
      <w:pPr>
        <w:spacing w:after="0" w:line="260"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2" w:lineRule="exact"/>
        <w:rPr>
          <w:sz w:val="24"/>
          <w:szCs w:val="24"/>
          <w:color w:val="auto"/>
        </w:rPr>
      </w:pPr>
    </w:p>
    <w:p>
      <w:pPr>
        <w:ind w:left="8880"/>
        <w:spacing w:after="0"/>
        <w:rPr>
          <w:sz w:val="20"/>
          <w:szCs w:val="20"/>
          <w:color w:val="auto"/>
        </w:rPr>
      </w:pPr>
      <w:r>
        <w:rPr>
          <w:rFonts w:ascii="Arial" w:cs="Arial" w:eastAsia="Arial" w:hAnsi="Arial"/>
          <w:sz w:val="18"/>
          <w:szCs w:val="18"/>
          <w:color w:val="auto"/>
        </w:rPr>
        <w:t xml:space="preserve">Emerging growth company </w:t>
      </w:r>
      <w:r>
        <w:rPr>
          <w:rFonts w:ascii="Wingdings" w:cs="Wingdings" w:eastAsia="Wingdings" w:hAnsi="Wingdings"/>
          <w:sz w:val="18"/>
          <w:szCs w:val="18"/>
          <w:b w:val="1"/>
          <w:bCs w:val="1"/>
          <w:color w:val="auto"/>
        </w:rPr>
        <w:t>o</w:t>
      </w:r>
    </w:p>
    <w:p>
      <w:pPr>
        <w:spacing w:after="0" w:line="180" w:lineRule="exact"/>
        <w:rPr>
          <w:sz w:val="24"/>
          <w:szCs w:val="24"/>
          <w:color w:val="auto"/>
        </w:rPr>
      </w:pPr>
    </w:p>
    <w:p>
      <w:pPr>
        <w:ind w:right="20"/>
        <w:spacing w:after="0" w:line="287" w:lineRule="auto"/>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8"/>
          <w:szCs w:val="18"/>
          <w:b w:val="1"/>
          <w:bCs w:val="1"/>
          <w:color w:val="auto"/>
        </w:rPr>
        <w: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773430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134620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1" w:name="page2"/>
    <w:bookmarkEnd w:id="1"/>
    <w:p>
      <w:pPr>
        <w:spacing w:after="0"/>
        <w:tabs>
          <w:tab w:leader="none" w:pos="960" w:val="left"/>
        </w:tabs>
        <w:rPr>
          <w:sz w:val="20"/>
          <w:szCs w:val="20"/>
          <w:color w:val="auto"/>
        </w:rPr>
      </w:pPr>
      <w:r>
        <w:rPr>
          <w:rFonts w:ascii="Arial" w:cs="Arial" w:eastAsia="Arial" w:hAnsi="Arial"/>
          <w:sz w:val="18"/>
          <w:szCs w:val="18"/>
          <w:b w:val="1"/>
          <w:bCs w:val="1"/>
          <w:color w:val="auto"/>
        </w:rPr>
        <w:t>Item 1.01</w:t>
      </w:r>
      <w:r>
        <w:rPr>
          <w:sz w:val="20"/>
          <w:szCs w:val="20"/>
          <w:color w:val="auto"/>
        </w:rPr>
        <w:tab/>
      </w:r>
      <w:r>
        <w:rPr>
          <w:rFonts w:ascii="Arial" w:cs="Arial" w:eastAsia="Arial" w:hAnsi="Arial"/>
          <w:sz w:val="17"/>
          <w:szCs w:val="17"/>
          <w:b w:val="1"/>
          <w:bCs w:val="1"/>
          <w:color w:val="auto"/>
        </w:rPr>
        <w:t>Entry Into A Material Definitive Agreement.</w:t>
      </w:r>
    </w:p>
    <w:p>
      <w:pPr>
        <w:spacing w:after="0" w:line="2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As previously disclosed, Lee Enterprises, Incorporated ("Company") experienced a systems outage caused by a cybersecurity attack, and, in an effort to provide short-term liquidity to fund the cybersecurity incident's remediation efforts and other operations, the Company's sole lender, BH Finance LLC, a Nebraska limited liability company ("BH Finance"), waived payment of the Company's March and April 2025 interest payments ("Interest") owed to BH Finance under the Credit Agreement dated January 29, 2020 ("Credit Agreement"), and March and April 2025 lease payments ("Basic Rent") owed to BH Media Group, Inc., a Delaware corporation ("BH Media"), under the Lease Agreement dated March 16, 2020 ("Lease Agreement").</w:t>
      </w:r>
    </w:p>
    <w:p>
      <w:pPr>
        <w:spacing w:after="0" w:line="209"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On May 1, 2025, the Company entered into a Waiver and Amendment to Credit Agreement ("Amendment") waiving the Company's May 2025 Interest and Basic Rent payments and amending the Credit Agreement. Capitalized terms used but not defined herein have the meanings given to such terms in the Amendment, Credit Agreement, and Lease Agreement, as applicable.</w:t>
      </w:r>
    </w:p>
    <w:p>
      <w:pPr>
        <w:spacing w:after="0" w:line="19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Pursuant to the Amendment, effective May 1, 2025, BH Finance waived payment of the Company's May 2025 Interest payment under the Credit Agreement and BH Media waived payment of the Company's May 2025 Basic Rent payment. All waived Interest and Basic Rent payments will be added to the principal amount due under the Credit Agreement to be due as of the date such payments become due under the Credit Agreement. Except as expressly provided above, the Waiver Period is not a waiver of any other right, power, or remedy under the Credit Agreement or Lease Agreement and both agreements remain in full force and effect.</w:t>
      </w:r>
    </w:p>
    <w:p>
      <w:pPr>
        <w:spacing w:after="0" w:line="206"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In addition, pursuant to the Amendment, the Credit Agreement was amended to (a) require the Company to prepay the Loan in an aggregate amount equal to 100% of the Net Cash Proceeds received by any Loan Party or any Subsidiary from any Disposition within three days following the receipt of such Net Cash Proceeds and (b) allow BH Finance to assign its rights and obligations under the Credit Agreement to any Person (other than a natural person).</w:t>
      </w:r>
    </w:p>
    <w:p>
      <w:pPr>
        <w:spacing w:after="0" w:line="20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A copy of the Amendment is included as Exhibit 10.1 of this Current Report on Form 8-K ("Current Report") and is incorporated herein by reference. The above description of the Amendment does not purport to be complete and is qualified in its entirety by reference to the full text of the Amendment.</w:t>
      </w:r>
    </w:p>
    <w:p>
      <w:pPr>
        <w:spacing w:after="0" w:line="198"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2.03</w:t>
      </w:r>
      <w:r>
        <w:rPr>
          <w:sz w:val="20"/>
          <w:szCs w:val="20"/>
          <w:color w:val="auto"/>
        </w:rPr>
        <w:tab/>
      </w:r>
      <w:r>
        <w:rPr>
          <w:rFonts w:ascii="Arial" w:cs="Arial" w:eastAsia="Arial" w:hAnsi="Arial"/>
          <w:sz w:val="17"/>
          <w:szCs w:val="17"/>
          <w:b w:val="1"/>
          <w:bCs w:val="1"/>
          <w:color w:val="auto"/>
        </w:rPr>
        <w:t>Creation of a Direct Financial Obligation under an Off-Balance Sheet Arrangement of a Registrant.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information contained in Item 1.01 of this Current Report is incorporated by reference into this item.</w:t>
      </w:r>
    </w:p>
    <w:p>
      <w:pPr>
        <w:spacing w:after="0" w:line="22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7"/>
          <w:szCs w:val="17"/>
          <w:b w:val="1"/>
          <w:bCs w:val="1"/>
          <w:color w:val="auto"/>
        </w:rPr>
        <w:t>Financial Statements and Exhibits.</w:t>
      </w:r>
    </w:p>
    <w:p>
      <w:pPr>
        <w:spacing w:after="0" w:line="200" w:lineRule="exact"/>
        <w:rPr>
          <w:sz w:val="20"/>
          <w:szCs w:val="20"/>
          <w:color w:val="auto"/>
        </w:rPr>
      </w:pPr>
    </w:p>
    <w:p>
      <w:pPr>
        <w:spacing w:after="0" w:line="255" w:lineRule="exact"/>
        <w:rPr>
          <w:sz w:val="20"/>
          <w:szCs w:val="20"/>
          <w:color w:val="auto"/>
        </w:rPr>
      </w:pPr>
    </w:p>
    <w:p>
      <w:pPr>
        <w:ind w:left="20"/>
        <w:spacing w:after="0"/>
        <w:rPr>
          <w:sz w:val="20"/>
          <w:szCs w:val="20"/>
          <w:color w:val="auto"/>
        </w:rPr>
      </w:pPr>
      <w:r>
        <w:rPr>
          <w:rFonts w:ascii="Arial" w:cs="Arial" w:eastAsia="Arial" w:hAnsi="Arial"/>
          <w:sz w:val="18"/>
          <w:szCs w:val="18"/>
          <w:color w:val="auto"/>
        </w:rPr>
        <w:t>(d)</w:t>
      </w:r>
      <w:r>
        <w:rPr>
          <w:rFonts w:ascii="Arial" w:cs="Arial" w:eastAsia="Arial" w:hAnsi="Arial"/>
          <w:sz w:val="18"/>
          <w:szCs w:val="18"/>
          <w:i w:val="1"/>
          <w:iCs w:val="1"/>
          <w:color w:val="auto"/>
        </w:rPr>
        <w:t>Exhibits</w:t>
      </w:r>
    </w:p>
    <w:p>
      <w:pPr>
        <w:spacing w:after="0" w:line="225" w:lineRule="exact"/>
        <w:rPr>
          <w:sz w:val="20"/>
          <w:szCs w:val="20"/>
          <w:color w:val="auto"/>
        </w:rPr>
      </w:pPr>
    </w:p>
    <w:p>
      <w:pPr>
        <w:ind w:left="20"/>
        <w:spacing w:after="0"/>
        <w:tabs>
          <w:tab w:leader="none" w:pos="1540" w:val="left"/>
        </w:tabs>
        <w:rPr>
          <w:sz w:val="20"/>
          <w:szCs w:val="20"/>
          <w:color w:val="auto"/>
        </w:rPr>
      </w:pPr>
      <w:r>
        <w:rPr>
          <w:rFonts w:ascii="Arial" w:cs="Arial" w:eastAsia="Arial" w:hAnsi="Arial"/>
          <w:sz w:val="18"/>
          <w:szCs w:val="18"/>
          <w:color w:val="auto"/>
        </w:rPr>
        <w:t>Exhibit Number</w:t>
      </w:r>
      <w:r>
        <w:rPr>
          <w:sz w:val="20"/>
          <w:szCs w:val="20"/>
          <w:color w:val="auto"/>
        </w:rPr>
        <w:tab/>
      </w:r>
      <w:r>
        <w:rPr>
          <w:rFonts w:ascii="Arial" w:cs="Arial" w:eastAsia="Arial" w:hAnsi="Arial"/>
          <w:sz w:val="17"/>
          <w:szCs w:val="17"/>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68148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814820" cy="8255"/>
                    </a:xfrm>
                    <a:prstGeom prst="rect">
                      <a:avLst/>
                    </a:prstGeom>
                    <a:noFill/>
                  </pic:spPr>
                </pic:pic>
              </a:graphicData>
            </a:graphic>
          </wp:anchor>
        </w:drawing>
      </w:r>
    </w:p>
    <w:p>
      <w:pPr>
        <w:spacing w:after="0" w:line="43" w:lineRule="exact"/>
        <w:rPr>
          <w:sz w:val="20"/>
          <w:szCs w:val="20"/>
          <w:color w:val="auto"/>
        </w:rPr>
      </w:pPr>
    </w:p>
    <w:p>
      <w:pPr>
        <w:ind w:left="1560" w:right="960" w:hanging="962"/>
        <w:spacing w:after="0" w:line="266" w:lineRule="auto"/>
        <w:tabs>
          <w:tab w:leader="none" w:pos="154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8"/>
          <w:szCs w:val="18"/>
          <w:u w:val="single" w:color="auto"/>
          <w:color w:val="0000FF"/>
        </w:rPr>
        <w:t>Waiver and Amendment to Credit Agreement among Lee Enterprises, Incorporated, BH Finance LLC, and BH Media Group, Inc. dated May 1, 2025.</w:t>
      </w:r>
    </w:p>
    <w:p>
      <w:pPr>
        <w:ind w:left="620"/>
        <w:spacing w:after="0"/>
        <w:tabs>
          <w:tab w:leader="none" w:pos="154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8"/>
          <w:szCs w:val="18"/>
          <w:color w:val="auto"/>
        </w:rPr>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673735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26035</wp:posOffset>
            </wp:positionV>
            <wp:extent cx="68148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814820" cy="171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185"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80" w:lineRule="exact"/>
        <w:rPr>
          <w:sz w:val="20"/>
          <w:szCs w:val="20"/>
          <w:color w:val="auto"/>
        </w:rPr>
      </w:pPr>
    </w:p>
    <w:p>
      <w:pPr>
        <w:ind w:left="4740"/>
        <w:spacing w:after="0"/>
        <w:rPr>
          <w:sz w:val="20"/>
          <w:szCs w:val="20"/>
          <w:color w:val="auto"/>
        </w:rPr>
      </w:pPr>
      <w:r>
        <w:rPr>
          <w:rFonts w:ascii="Arial" w:cs="Arial" w:eastAsia="Arial" w:hAnsi="Arial"/>
          <w:sz w:val="18"/>
          <w:szCs w:val="18"/>
          <w:b w:val="1"/>
          <w:bCs w:val="1"/>
          <w:color w:val="auto"/>
        </w:rPr>
        <w:t>LEE ENTERPRISES, INCORPORATED</w:t>
      </w:r>
    </w:p>
    <w:p>
      <w:pPr>
        <w:spacing w:after="0" w:line="200" w:lineRule="exact"/>
        <w:rPr>
          <w:sz w:val="20"/>
          <w:szCs w:val="20"/>
          <w:color w:val="auto"/>
        </w:rPr>
      </w:pPr>
    </w:p>
    <w:p>
      <w:pPr>
        <w:spacing w:after="0" w:line="390" w:lineRule="exact"/>
        <w:rPr>
          <w:sz w:val="20"/>
          <w:szCs w:val="20"/>
          <w:color w:val="auto"/>
        </w:rPr>
      </w:pPr>
    </w:p>
    <w:p>
      <w:pPr>
        <w:ind w:left="20"/>
        <w:spacing w:after="0"/>
        <w:tabs>
          <w:tab w:leader="none" w:pos="680" w:val="left"/>
          <w:tab w:leader="none" w:pos="4340" w:val="left"/>
        </w:tabs>
        <w:rPr>
          <w:sz w:val="20"/>
          <w:szCs w:val="20"/>
          <w:color w:val="auto"/>
        </w:rPr>
      </w:pPr>
      <w:r>
        <w:rPr>
          <w:rFonts w:ascii="Arial" w:cs="Arial" w:eastAsia="Arial" w:hAnsi="Arial"/>
          <w:sz w:val="18"/>
          <w:szCs w:val="18"/>
          <w:color w:val="auto"/>
        </w:rPr>
        <w:t>Date:</w:t>
        <w:tab/>
        <w:t>May 1, 2025</w:t>
      </w:r>
      <w:r>
        <w:rPr>
          <w:sz w:val="20"/>
          <w:szCs w:val="20"/>
          <w:color w:val="auto"/>
        </w:rPr>
        <w:tab/>
      </w:r>
      <w:r>
        <w:rPr>
          <w:rFonts w:ascii="Arial" w:cs="Arial" w:eastAsia="Arial" w:hAnsi="Arial"/>
          <w:sz w:val="18"/>
          <w:szCs w:val="18"/>
          <w:color w:val="auto"/>
        </w:rPr>
        <w:t>By: /s/ Timothy R. Millage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2996565</wp:posOffset>
            </wp:positionH>
            <wp:positionV relativeFrom="paragraph">
              <wp:posOffset>26035</wp:posOffset>
            </wp:positionV>
            <wp:extent cx="400304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4003040" cy="8255"/>
                    </a:xfrm>
                    <a:prstGeom prst="rect">
                      <a:avLst/>
                    </a:prstGeom>
                    <a:noFill/>
                  </pic:spPr>
                </pic:pic>
              </a:graphicData>
            </a:graphic>
          </wp:anchor>
        </w:drawing>
      </w:r>
    </w:p>
    <w:p>
      <w:pPr>
        <w:spacing w:after="0" w:line="43"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Timothy R. Millage</w:t>
      </w:r>
    </w:p>
    <w:p>
      <w:pPr>
        <w:spacing w:after="0" w:line="50"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Vice President, Chief Financial Officer and Treasurer</w:t>
      </w:r>
    </w:p>
    <w:p>
      <w:pPr>
        <w:sectPr>
          <w:pgSz w:w="11900" w:h="16838" w:orient="portrait"/>
          <w:cols w:equalWidth="0" w:num="1">
            <w:col w:w="11240"/>
          </w:cols>
          <w:pgMar w:left="320" w:top="931"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WAIVER AND AMENDMENT TO CREDIT AGREEMENT</w:t>
      </w:r>
    </w:p>
    <w:p>
      <w:pPr>
        <w:spacing w:after="0" w:line="260" w:lineRule="exact"/>
        <w:rPr>
          <w:sz w:val="20"/>
          <w:szCs w:val="20"/>
          <w:color w:val="auto"/>
        </w:rPr>
      </w:pPr>
    </w:p>
    <w:p>
      <w:pPr>
        <w:jc w:val="both"/>
        <w:ind w:firstLine="248"/>
        <w:spacing w:after="0" w:line="261" w:lineRule="auto"/>
        <w:rPr>
          <w:sz w:val="20"/>
          <w:szCs w:val="20"/>
          <w:color w:val="auto"/>
        </w:rPr>
      </w:pPr>
      <w:r>
        <w:rPr>
          <w:rFonts w:ascii="Times New Roman" w:cs="Times New Roman" w:eastAsia="Times New Roman" w:hAnsi="Times New Roman"/>
          <w:sz w:val="20"/>
          <w:szCs w:val="20"/>
          <w:color w:val="auto"/>
        </w:rPr>
        <w:t>THIS WAIVER AND AMENDMENT TO CREDIT AGREEMENT (this “</w:t>
      </w:r>
      <w:r>
        <w:rPr>
          <w:rFonts w:ascii="Times New Roman" w:cs="Times New Roman" w:eastAsia="Times New Roman" w:hAnsi="Times New Roman"/>
          <w:sz w:val="20"/>
          <w:szCs w:val="20"/>
          <w:u w:val="single" w:color="auto"/>
          <w:color w:val="auto"/>
        </w:rPr>
        <w:t>Amendment</w:t>
      </w:r>
      <w:r>
        <w:rPr>
          <w:rFonts w:ascii="Times New Roman" w:cs="Times New Roman" w:eastAsia="Times New Roman" w:hAnsi="Times New Roman"/>
          <w:sz w:val="20"/>
          <w:szCs w:val="20"/>
          <w:color w:val="auto"/>
        </w:rPr>
        <w:t>”) is entered into effective as of May 1, 2025 by and among LEE ENTERPRISES, INCORPORATED, a Delaware corporation (“</w:t>
      </w:r>
      <w:r>
        <w:rPr>
          <w:rFonts w:ascii="Times New Roman" w:cs="Times New Roman" w:eastAsia="Times New Roman" w:hAnsi="Times New Roman"/>
          <w:sz w:val="20"/>
          <w:szCs w:val="20"/>
          <w:u w:val="single" w:color="auto"/>
          <w:color w:val="auto"/>
        </w:rPr>
        <w:t>Borrower</w:t>
      </w:r>
      <w:r>
        <w:rPr>
          <w:rFonts w:ascii="Times New Roman" w:cs="Times New Roman" w:eastAsia="Times New Roman" w:hAnsi="Times New Roman"/>
          <w:sz w:val="20"/>
          <w:szCs w:val="20"/>
          <w:color w:val="auto"/>
        </w:rPr>
        <w:t>”), BH FINANCE LLC, a Nebraska limited liability company (“</w:t>
      </w:r>
      <w:r>
        <w:rPr>
          <w:rFonts w:ascii="Times New Roman" w:cs="Times New Roman" w:eastAsia="Times New Roman" w:hAnsi="Times New Roman"/>
          <w:sz w:val="20"/>
          <w:szCs w:val="20"/>
          <w:u w:val="single" w:color="auto"/>
          <w:color w:val="auto"/>
        </w:rPr>
        <w:t>Lender</w:t>
      </w:r>
      <w:r>
        <w:rPr>
          <w:rFonts w:ascii="Times New Roman" w:cs="Times New Roman" w:eastAsia="Times New Roman" w:hAnsi="Times New Roman"/>
          <w:sz w:val="20"/>
          <w:szCs w:val="20"/>
          <w:color w:val="auto"/>
        </w:rPr>
        <w:t>”), and BH MEDIA GROUP, INC., a Delaware corporation (“</w:t>
      </w:r>
      <w:r>
        <w:rPr>
          <w:rFonts w:ascii="Times New Roman" w:cs="Times New Roman" w:eastAsia="Times New Roman" w:hAnsi="Times New Roman"/>
          <w:sz w:val="20"/>
          <w:szCs w:val="20"/>
          <w:u w:val="single" w:color="auto"/>
          <w:color w:val="auto"/>
        </w:rPr>
        <w:t>Landlord</w:t>
      </w:r>
      <w:r>
        <w:rPr>
          <w:rFonts w:ascii="Times New Roman" w:cs="Times New Roman" w:eastAsia="Times New Roman" w:hAnsi="Times New Roman"/>
          <w:sz w:val="20"/>
          <w:szCs w:val="20"/>
          <w:color w:val="auto"/>
        </w:rPr>
        <w:t>”).</w:t>
      </w:r>
    </w:p>
    <w:p>
      <w:pPr>
        <w:spacing w:after="0" w:line="1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RECITALS</w:t>
      </w:r>
    </w:p>
    <w:p>
      <w:pPr>
        <w:spacing w:after="0" w:line="260"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20"/>
          <w:szCs w:val="20"/>
          <w:color w:val="auto"/>
        </w:rPr>
        <w:t>WHEREAS, Borrower and Lender are parties to that certain Credit Agreement dated as of January 29, 2020 (the “</w:t>
      </w:r>
      <w:r>
        <w:rPr>
          <w:rFonts w:ascii="Times New Roman" w:cs="Times New Roman" w:eastAsia="Times New Roman" w:hAnsi="Times New Roman"/>
          <w:sz w:val="20"/>
          <w:szCs w:val="20"/>
          <w:u w:val="single" w:color="auto"/>
          <w:color w:val="auto"/>
        </w:rPr>
        <w:t>Credit Agreement</w:t>
      </w:r>
      <w:r>
        <w:rPr>
          <w:rFonts w:ascii="Times New Roman" w:cs="Times New Roman" w:eastAsia="Times New Roman" w:hAnsi="Times New Roman"/>
          <w:sz w:val="20"/>
          <w:szCs w:val="20"/>
          <w:color w:val="auto"/>
        </w:rPr>
        <w:t>”);</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WHEREAS, Borrower and Landlord are parties to that certain Lease Agreement dated as of March 16, 2020 (the “</w:t>
      </w:r>
      <w:r>
        <w:rPr>
          <w:rFonts w:ascii="Times New Roman" w:cs="Times New Roman" w:eastAsia="Times New Roman" w:hAnsi="Times New Roman"/>
          <w:sz w:val="20"/>
          <w:szCs w:val="20"/>
          <w:u w:val="single" w:color="auto"/>
          <w:color w:val="auto"/>
        </w:rPr>
        <w:t>Lease</w:t>
      </w:r>
      <w:r>
        <w:rPr>
          <w:rFonts w:ascii="Times New Roman" w:cs="Times New Roman" w:eastAsia="Times New Roman" w:hAnsi="Times New Roman"/>
          <w:sz w:val="20"/>
          <w:szCs w:val="20"/>
          <w:color w:val="auto"/>
        </w:rPr>
        <w:t>”);</w:t>
      </w:r>
    </w:p>
    <w:p>
      <w:pPr>
        <w:spacing w:after="0" w:line="24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WHEREAS, Borrower, Lender and Landlord previously executed certain letter agreements pursuant to which interest payments due from Borrower under the Credit Agreement, and Basic Rent payments due under the Lease, for March 2025 and April 2025 were waived and said amounts were added to the unpaid principal balance of the Loan;</w:t>
      </w:r>
    </w:p>
    <w:p>
      <w:pPr>
        <w:spacing w:after="0" w:line="20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WHEREAS, Borrower has requested a similar waiver with respect to payments due under the Credit Agreement and Lease for May</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2025;</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WHEREAS, Lender has agreed to grant said waiver on the terms and conditions set forth herein; and</w:t>
      </w:r>
    </w:p>
    <w:p>
      <w:pPr>
        <w:spacing w:after="0" w:line="256" w:lineRule="exact"/>
        <w:rPr>
          <w:sz w:val="20"/>
          <w:szCs w:val="20"/>
          <w:color w:val="auto"/>
        </w:rPr>
      </w:pPr>
    </w:p>
    <w:p>
      <w:pPr>
        <w:jc w:val="both"/>
        <w:ind w:right="20" w:firstLine="648"/>
        <w:spacing w:after="0" w:line="269" w:lineRule="auto"/>
        <w:rPr>
          <w:sz w:val="20"/>
          <w:szCs w:val="20"/>
          <w:color w:val="auto"/>
        </w:rPr>
      </w:pPr>
      <w:r>
        <w:rPr>
          <w:rFonts w:ascii="Times New Roman" w:cs="Times New Roman" w:eastAsia="Times New Roman" w:hAnsi="Times New Roman"/>
          <w:sz w:val="20"/>
          <w:szCs w:val="20"/>
          <w:color w:val="auto"/>
        </w:rPr>
        <w:t>WHEREAS, capitalized terms used and not otherwise defined herein have the meanings set forth in the Credit Agreement or Lease, as applicable.</w:t>
      </w:r>
    </w:p>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AGREEMENT</w:t>
      </w:r>
    </w:p>
    <w:p>
      <w:pPr>
        <w:spacing w:after="0" w:line="260" w:lineRule="exact"/>
        <w:rPr>
          <w:sz w:val="20"/>
          <w:szCs w:val="20"/>
          <w:color w:val="auto"/>
        </w:rPr>
      </w:pPr>
    </w:p>
    <w:p>
      <w:pPr>
        <w:jc w:val="both"/>
        <w:ind w:right="20" w:firstLine="217"/>
        <w:spacing w:after="0" w:line="269" w:lineRule="auto"/>
        <w:rPr>
          <w:sz w:val="20"/>
          <w:szCs w:val="20"/>
          <w:color w:val="auto"/>
        </w:rPr>
      </w:pPr>
      <w:r>
        <w:rPr>
          <w:rFonts w:ascii="Times New Roman" w:cs="Times New Roman" w:eastAsia="Times New Roman" w:hAnsi="Times New Roman"/>
          <w:sz w:val="20"/>
          <w:szCs w:val="20"/>
          <w:color w:val="auto"/>
        </w:rPr>
        <w:t>NOW, THEREFORE, in consideration of the foregoing and the mutual covenants and agreements hereinafter set forth, and for other good and valuable consideration, the receipt and sufficiency of which are hereby acknowledged, the parties hereto agree as follows:</w:t>
      </w:r>
    </w:p>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ARTICLE I – WAIVERS AND ACKNOWLEDGMENTS</w:t>
      </w:r>
    </w:p>
    <w:p>
      <w:pPr>
        <w:spacing w:after="0" w:line="247" w:lineRule="exact"/>
        <w:rPr>
          <w:sz w:val="20"/>
          <w:szCs w:val="20"/>
          <w:color w:val="auto"/>
        </w:rPr>
      </w:pPr>
    </w:p>
    <w:p>
      <w:pPr>
        <w:jc w:val="both"/>
        <w:ind w:firstLine="211"/>
        <w:spacing w:after="0" w:line="274" w:lineRule="auto"/>
        <w:rPr>
          <w:sz w:val="20"/>
          <w:szCs w:val="20"/>
          <w:color w:val="auto"/>
        </w:rPr>
      </w:pPr>
      <w:r>
        <w:rPr>
          <w:rFonts w:ascii="Times New Roman" w:cs="Times New Roman" w:eastAsia="Times New Roman" w:hAnsi="Times New Roman"/>
          <w:sz w:val="19"/>
          <w:szCs w:val="19"/>
          <w:color w:val="auto"/>
        </w:rPr>
        <w:t xml:space="preserve">1.1 </w:t>
      </w:r>
      <w:r>
        <w:rPr>
          <w:rFonts w:ascii="Times New Roman" w:cs="Times New Roman" w:eastAsia="Times New Roman" w:hAnsi="Times New Roman"/>
          <w:sz w:val="19"/>
          <w:szCs w:val="19"/>
          <w:u w:val="single" w:color="auto"/>
          <w:color w:val="auto"/>
        </w:rPr>
        <w:t>Rent and Interest Payments</w:t>
      </w:r>
      <w:r>
        <w:rPr>
          <w:rFonts w:ascii="Times New Roman" w:cs="Times New Roman" w:eastAsia="Times New Roman" w:hAnsi="Times New Roman"/>
          <w:sz w:val="19"/>
          <w:szCs w:val="19"/>
          <w:color w:val="auto"/>
        </w:rPr>
        <w:t xml:space="preserve">. Lender hereby waives the requirement that Borrower make the payment of accrued interest on the Loan in the amount of $3,400,883.62 due on May 1, 2025 pursuant to </w:t>
      </w:r>
      <w:r>
        <w:rPr>
          <w:rFonts w:ascii="Times New Roman" w:cs="Times New Roman" w:eastAsia="Times New Roman" w:hAnsi="Times New Roman"/>
          <w:sz w:val="19"/>
          <w:szCs w:val="19"/>
          <w:u w:val="single" w:color="auto"/>
          <w:color w:val="auto"/>
        </w:rPr>
        <w:t>Section 2.04(c)</w:t>
      </w:r>
      <w:r>
        <w:rPr>
          <w:rFonts w:ascii="Times New Roman" w:cs="Times New Roman" w:eastAsia="Times New Roman" w:hAnsi="Times New Roman"/>
          <w:sz w:val="19"/>
          <w:szCs w:val="19"/>
          <w:color w:val="auto"/>
        </w:rPr>
        <w:t xml:space="preserve"> of the Credit Agreement and agrees that no Event of Default shall exist solely as a result of such non-payment. Landlord hereby waives the requirement that Borrower make the Basic Rent payment in the amount of $394,793.83 due on May 1, 2025 pursuant to </w:t>
      </w:r>
      <w:r>
        <w:rPr>
          <w:rFonts w:ascii="Times New Roman" w:cs="Times New Roman" w:eastAsia="Times New Roman" w:hAnsi="Times New Roman"/>
          <w:sz w:val="19"/>
          <w:szCs w:val="19"/>
          <w:u w:val="single" w:color="auto"/>
          <w:color w:val="auto"/>
        </w:rPr>
        <w:t>Section 3(a)</w:t>
      </w:r>
      <w:r>
        <w:rPr>
          <w:rFonts w:ascii="Times New Roman" w:cs="Times New Roman" w:eastAsia="Times New Roman" w:hAnsi="Times New Roman"/>
          <w:sz w:val="19"/>
          <w:szCs w:val="19"/>
          <w:color w:val="auto"/>
        </w:rPr>
        <w:t xml:space="preserve"> of the Lease and agrees that no Event of Default shall exist solely as a result of such non-payment. All such amounts shall be added to the unpaid principal balance of the Loan effective as of May 1, 2025.</w:t>
      </w:r>
    </w:p>
    <w:p>
      <w:pPr>
        <w:spacing w:after="0" w:line="184" w:lineRule="exact"/>
        <w:rPr>
          <w:sz w:val="20"/>
          <w:szCs w:val="20"/>
          <w:color w:val="auto"/>
        </w:rPr>
      </w:pPr>
    </w:p>
    <w:p>
      <w:pPr>
        <w:jc w:val="both"/>
        <w:ind w:firstLine="326"/>
        <w:spacing w:after="0" w:line="283" w:lineRule="auto"/>
        <w:rPr>
          <w:sz w:val="20"/>
          <w:szCs w:val="20"/>
          <w:color w:val="auto"/>
        </w:rPr>
      </w:pPr>
      <w:r>
        <w:rPr>
          <w:rFonts w:ascii="Times New Roman" w:cs="Times New Roman" w:eastAsia="Times New Roman" w:hAnsi="Times New Roman"/>
          <w:sz w:val="20"/>
          <w:szCs w:val="20"/>
          <w:color w:val="auto"/>
        </w:rPr>
        <w:t xml:space="preserve">1.2 </w:t>
      </w:r>
      <w:r>
        <w:rPr>
          <w:rFonts w:ascii="Times New Roman" w:cs="Times New Roman" w:eastAsia="Times New Roman" w:hAnsi="Times New Roman"/>
          <w:sz w:val="20"/>
          <w:szCs w:val="20"/>
          <w:u w:val="single" w:color="auto"/>
          <w:color w:val="auto"/>
        </w:rPr>
        <w:t>Acknowledgment of Current Principal Balance</w:t>
      </w:r>
      <w:r>
        <w:rPr>
          <w:rFonts w:ascii="Times New Roman" w:cs="Times New Roman" w:eastAsia="Times New Roman" w:hAnsi="Times New Roman"/>
          <w:sz w:val="20"/>
          <w:szCs w:val="20"/>
          <w:color w:val="auto"/>
        </w:rPr>
        <w:t xml:space="preserve">. Borrower and Lender acknowledge and agree that, after giving effect to the transactions described in </w:t>
      </w:r>
      <w:r>
        <w:rPr>
          <w:rFonts w:ascii="Times New Roman" w:cs="Times New Roman" w:eastAsia="Times New Roman" w:hAnsi="Times New Roman"/>
          <w:sz w:val="20"/>
          <w:szCs w:val="20"/>
          <w:u w:val="single" w:color="auto"/>
          <w:color w:val="auto"/>
        </w:rPr>
        <w:t>Section 1.1</w:t>
      </w:r>
      <w:r>
        <w:rPr>
          <w:rFonts w:ascii="Times New Roman" w:cs="Times New Roman" w:eastAsia="Times New Roman" w:hAnsi="Times New Roman"/>
          <w:sz w:val="20"/>
          <w:szCs w:val="20"/>
          <w:color w:val="auto"/>
        </w:rPr>
        <w:t xml:space="preserve"> above, the aggregate unpaid principal balance of the Loan is $457,246,827.10.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Lee Enterprises</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Waiver and Amendment</w:t>
      </w:r>
    </w:p>
    <w:p>
      <w:pPr>
        <w:sectPr>
          <w:pgSz w:w="11900" w:h="16838" w:orient="portrait"/>
          <w:cols w:equalWidth="0" w:num="1">
            <w:col w:w="11240"/>
          </w:cols>
          <w:pgMar w:left="320" w:top="1409" w:right="339" w:bottom="1440" w:gutter="0" w:footer="0" w:header="0"/>
        </w:sectPr>
      </w:pPr>
    </w:p>
    <w:bookmarkStart w:id="4" w:name="page5"/>
    <w:bookmarkEnd w:id="4"/>
    <w:p>
      <w:pPr>
        <w:jc w:val="both"/>
        <w:ind w:firstLine="648"/>
        <w:spacing w:after="0" w:line="252" w:lineRule="auto"/>
        <w:rPr>
          <w:sz w:val="20"/>
          <w:szCs w:val="20"/>
          <w:color w:val="auto"/>
        </w:rPr>
      </w:pPr>
      <w:r>
        <w:rPr>
          <w:rFonts w:ascii="Times New Roman" w:cs="Times New Roman" w:eastAsia="Times New Roman" w:hAnsi="Times New Roman"/>
          <w:sz w:val="20"/>
          <w:szCs w:val="20"/>
          <w:color w:val="auto"/>
        </w:rPr>
        <w:t xml:space="preserve">1.3 </w:t>
      </w:r>
      <w:r>
        <w:rPr>
          <w:rFonts w:ascii="Times New Roman" w:cs="Times New Roman" w:eastAsia="Times New Roman" w:hAnsi="Times New Roman"/>
          <w:sz w:val="20"/>
          <w:szCs w:val="20"/>
          <w:u w:val="single" w:color="auto"/>
          <w:color w:val="auto"/>
        </w:rPr>
        <w:t>No Other Waivers; Reservation of Rights</w:t>
      </w:r>
      <w:r>
        <w:rPr>
          <w:rFonts w:ascii="Times New Roman" w:cs="Times New Roman" w:eastAsia="Times New Roman" w:hAnsi="Times New Roman"/>
          <w:sz w:val="20"/>
          <w:szCs w:val="20"/>
          <w:color w:val="auto"/>
        </w:rPr>
        <w:t xml:space="preserve">. The waivers granted in this </w:t>
      </w:r>
      <w:r>
        <w:rPr>
          <w:rFonts w:ascii="Times New Roman" w:cs="Times New Roman" w:eastAsia="Times New Roman" w:hAnsi="Times New Roman"/>
          <w:sz w:val="20"/>
          <w:szCs w:val="20"/>
          <w:u w:val="single" w:color="auto"/>
          <w:color w:val="auto"/>
        </w:rPr>
        <w:t>Article I</w:t>
      </w:r>
      <w:r>
        <w:rPr>
          <w:rFonts w:ascii="Times New Roman" w:cs="Times New Roman" w:eastAsia="Times New Roman" w:hAnsi="Times New Roman"/>
          <w:sz w:val="20"/>
          <w:szCs w:val="20"/>
          <w:color w:val="auto"/>
        </w:rPr>
        <w:t xml:space="preserve"> do not constitute, except as expressly provided herein, a waiver or amendment of any covenant or agreement contained in the Credit Agreement, the other Loan Documents or the Lease and all such other covenants and agreements are hereby confirmed and ratified in all respects and shall remain in full force and effect in accordance with their respective terms. The waivers granted in this </w:t>
      </w:r>
      <w:r>
        <w:rPr>
          <w:rFonts w:ascii="Times New Roman" w:cs="Times New Roman" w:eastAsia="Times New Roman" w:hAnsi="Times New Roman"/>
          <w:sz w:val="20"/>
          <w:szCs w:val="20"/>
          <w:u w:val="single" w:color="auto"/>
          <w:color w:val="auto"/>
        </w:rPr>
        <w:t>Article I</w:t>
      </w:r>
      <w:r>
        <w:rPr>
          <w:rFonts w:ascii="Times New Roman" w:cs="Times New Roman" w:eastAsia="Times New Roman" w:hAnsi="Times New Roman"/>
          <w:sz w:val="20"/>
          <w:szCs w:val="20"/>
          <w:color w:val="auto"/>
        </w:rPr>
        <w:t xml:space="preserve"> shall not establish a course of conduct on which Borrower or any other Person may rely upon in the future. Any failure on the part of Lender or Landlord to exercise, or any delay in exercising, any of its respective rights under the Credit Agreement, any other Loan Document or the Lease as a result of any future noncompliance or otherwise shall not be construed or operate as a waiver of or preclude the exercise of any rights or remedies under the Credit Agreement, any other Loan Document or the Lease. Lender and Landlord do hereby expressly reserve all of their respective rights, remedies and claims, whether under the Loan Documents, the Lease or applicable law, as a result of such noncompliance.</w:t>
      </w:r>
    </w:p>
    <w:p>
      <w:pPr>
        <w:spacing w:after="0" w:line="1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ARTICLE II – AMENDMENTS TO CREDIT AGREEMENT</w:t>
      </w:r>
    </w:p>
    <w:p>
      <w:pPr>
        <w:spacing w:after="0" w:line="260" w:lineRule="exact"/>
        <w:rPr>
          <w:sz w:val="20"/>
          <w:szCs w:val="20"/>
          <w:color w:val="auto"/>
        </w:rPr>
      </w:pPr>
    </w:p>
    <w:p>
      <w:pPr>
        <w:jc w:val="both"/>
        <w:ind w:right="20" w:firstLine="648"/>
        <w:spacing w:after="0" w:line="283" w:lineRule="auto"/>
        <w:rPr>
          <w:sz w:val="20"/>
          <w:szCs w:val="20"/>
          <w:color w:val="auto"/>
        </w:rPr>
      </w:pPr>
      <w:r>
        <w:rPr>
          <w:rFonts w:ascii="Times New Roman" w:cs="Times New Roman" w:eastAsia="Times New Roman" w:hAnsi="Times New Roman"/>
          <w:sz w:val="20"/>
          <w:szCs w:val="20"/>
          <w:color w:val="auto"/>
        </w:rPr>
        <w:t xml:space="preserve">2.1 </w:t>
      </w:r>
      <w:r>
        <w:rPr>
          <w:rFonts w:ascii="Times New Roman" w:cs="Times New Roman" w:eastAsia="Times New Roman" w:hAnsi="Times New Roman"/>
          <w:sz w:val="20"/>
          <w:szCs w:val="20"/>
          <w:u w:val="single" w:color="auto"/>
          <w:color w:val="auto"/>
        </w:rPr>
        <w:t>Mandatory Prepayments</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Section 2.02(b)(i)</w:t>
      </w:r>
      <w:r>
        <w:rPr>
          <w:rFonts w:ascii="Times New Roman" w:cs="Times New Roman" w:eastAsia="Times New Roman" w:hAnsi="Times New Roman"/>
          <w:sz w:val="20"/>
          <w:szCs w:val="20"/>
          <w:color w:val="auto"/>
        </w:rPr>
        <w:t xml:space="preserve"> of the Credit Agreement is hereby amended and restated in its entirety to read as follows:</w:t>
      </w:r>
    </w:p>
    <w:p>
      <w:pPr>
        <w:spacing w:after="0" w:line="173" w:lineRule="exact"/>
        <w:rPr>
          <w:sz w:val="20"/>
          <w:szCs w:val="20"/>
          <w:color w:val="auto"/>
        </w:rPr>
      </w:pPr>
    </w:p>
    <w:p>
      <w:pPr>
        <w:jc w:val="both"/>
        <w:ind w:left="660" w:right="660" w:firstLine="644"/>
        <w:spacing w:after="0" w:line="258" w:lineRule="auto"/>
        <w:tabs>
          <w:tab w:leader="none" w:pos="1718"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Borrower shall prepay the Loan in an aggregate amount equal to 100% of the Net Cash Proceeds received by any Loan Party or any Subsidiary from any Disposition (other than Permitted Transfers resulting in aggregate Net Cash Proceeds of less than $500,000 in any ninety (90) day period). Such prepayment shall be made no later than three (3) Business Days following the receipt of such Net Cash Proceeds by such Loan Party or Subsidiary.</w:t>
      </w:r>
    </w:p>
    <w:p>
      <w:pPr>
        <w:spacing w:after="0" w:line="213"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20"/>
          <w:szCs w:val="20"/>
          <w:color w:val="auto"/>
        </w:rPr>
        <w:t xml:space="preserve">2.2 </w:t>
      </w:r>
      <w:r>
        <w:rPr>
          <w:rFonts w:ascii="Times New Roman" w:cs="Times New Roman" w:eastAsia="Times New Roman" w:hAnsi="Times New Roman"/>
          <w:sz w:val="20"/>
          <w:szCs w:val="20"/>
          <w:u w:val="single" w:color="auto"/>
          <w:color w:val="auto"/>
        </w:rPr>
        <w:t>Assignments by Lender</w:t>
      </w:r>
      <w:r>
        <w:rPr>
          <w:rFonts w:ascii="Times New Roman" w:cs="Times New Roman" w:eastAsia="Times New Roman" w:hAnsi="Times New Roman"/>
          <w:sz w:val="20"/>
          <w:szCs w:val="20"/>
          <w:color w:val="auto"/>
        </w:rPr>
        <w:t xml:space="preserve">. The first sentence of </w:t>
      </w:r>
      <w:r>
        <w:rPr>
          <w:rFonts w:ascii="Times New Roman" w:cs="Times New Roman" w:eastAsia="Times New Roman" w:hAnsi="Times New Roman"/>
          <w:sz w:val="20"/>
          <w:szCs w:val="20"/>
          <w:u w:val="single" w:color="auto"/>
          <w:color w:val="auto"/>
        </w:rPr>
        <w:t>Section 8.06(b)</w:t>
      </w:r>
      <w:r>
        <w:rPr>
          <w:rFonts w:ascii="Times New Roman" w:cs="Times New Roman" w:eastAsia="Times New Roman" w:hAnsi="Times New Roman"/>
          <w:sz w:val="20"/>
          <w:szCs w:val="20"/>
          <w:color w:val="auto"/>
        </w:rPr>
        <w:t xml:space="preserve"> of the Credit Agreement is hereby amended by deleting “one or more of its Affiliates” where it appears therein and replacing with “any Person (other than a natural person)”.</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ARTICLE III – EFFECTIVENESS</w:t>
      </w:r>
    </w:p>
    <w:p>
      <w:pPr>
        <w:spacing w:after="0" w:line="227" w:lineRule="exact"/>
        <w:rPr>
          <w:sz w:val="20"/>
          <w:szCs w:val="20"/>
          <w:color w:val="auto"/>
        </w:rPr>
      </w:pPr>
    </w:p>
    <w:p>
      <w:pPr>
        <w:ind w:firstLine="319"/>
        <w:spacing w:after="0" w:line="283" w:lineRule="auto"/>
        <w:rPr>
          <w:sz w:val="20"/>
          <w:szCs w:val="20"/>
          <w:color w:val="auto"/>
        </w:rPr>
      </w:pPr>
      <w:r>
        <w:rPr>
          <w:rFonts w:ascii="Times New Roman" w:cs="Times New Roman" w:eastAsia="Times New Roman" w:hAnsi="Times New Roman"/>
          <w:sz w:val="20"/>
          <w:szCs w:val="20"/>
          <w:color w:val="auto"/>
        </w:rPr>
        <w:t>This Amendment shall become effective upon receipt by Lender and Landlord of this Amendment duly executed and delivered by Borrower.</w:t>
      </w:r>
    </w:p>
    <w:p>
      <w:pPr>
        <w:spacing w:after="0" w:line="169"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20"/>
          <w:szCs w:val="20"/>
          <w:b w:val="1"/>
          <w:bCs w:val="1"/>
          <w:color w:val="auto"/>
        </w:rPr>
        <w:t>ARTICLE IV - MISCELLANEOUS</w:t>
      </w:r>
    </w:p>
    <w:p>
      <w:pPr>
        <w:spacing w:after="0" w:line="260" w:lineRule="exact"/>
        <w:rPr>
          <w:sz w:val="20"/>
          <w:szCs w:val="20"/>
          <w:color w:val="auto"/>
        </w:rPr>
      </w:pPr>
    </w:p>
    <w:p>
      <w:pPr>
        <w:ind w:left="660"/>
        <w:spacing w:after="0"/>
        <w:tabs>
          <w:tab w:leader="none" w:pos="1080" w:val="left"/>
        </w:tabs>
        <w:rPr>
          <w:sz w:val="20"/>
          <w:szCs w:val="20"/>
          <w:color w:val="auto"/>
        </w:rPr>
      </w:pPr>
      <w:r>
        <w:rPr>
          <w:rFonts w:ascii="Times New Roman" w:cs="Times New Roman" w:eastAsia="Times New Roman" w:hAnsi="Times New Roman"/>
          <w:sz w:val="20"/>
          <w:szCs w:val="20"/>
          <w:color w:val="auto"/>
        </w:rPr>
        <w:t>4.1</w:t>
      </w:r>
      <w:r>
        <w:rPr>
          <w:sz w:val="20"/>
          <w:szCs w:val="20"/>
          <w:color w:val="auto"/>
        </w:rPr>
        <w:tab/>
      </w:r>
      <w:r>
        <w:rPr>
          <w:rFonts w:ascii="Times New Roman" w:cs="Times New Roman" w:eastAsia="Times New Roman" w:hAnsi="Times New Roman"/>
          <w:sz w:val="19"/>
          <w:szCs w:val="19"/>
          <w:u w:val="single" w:color="auto"/>
          <w:color w:val="auto"/>
        </w:rPr>
        <w:t>References; Effect on Credit Agreement and Lease</w:t>
      </w:r>
      <w:r>
        <w:rPr>
          <w:rFonts w:ascii="Times New Roman" w:cs="Times New Roman" w:eastAsia="Times New Roman" w:hAnsi="Times New Roman"/>
          <w:sz w:val="19"/>
          <w:szCs w:val="19"/>
          <w:color w:val="auto"/>
        </w:rPr>
        <w:t>.</w:t>
      </w:r>
    </w:p>
    <w:p>
      <w:pPr>
        <w:spacing w:after="0" w:line="256" w:lineRule="exact"/>
        <w:rPr>
          <w:sz w:val="20"/>
          <w:szCs w:val="20"/>
          <w:color w:val="auto"/>
        </w:rPr>
      </w:pPr>
    </w:p>
    <w:p>
      <w:pPr>
        <w:ind w:left="660" w:firstLine="644"/>
        <w:spacing w:after="0" w:line="269" w:lineRule="auto"/>
        <w:tabs>
          <w:tab w:leader="none" w:pos="1728"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On and after the effectiveness hereof, each reference in the Credit Agreement or any other Loan Document to the Credit Agreement shall mean and be a reference to the same as amended by this Amendment.</w:t>
      </w:r>
    </w:p>
    <w:p>
      <w:pPr>
        <w:spacing w:after="0" w:line="199" w:lineRule="exact"/>
        <w:rPr>
          <w:rFonts w:ascii="Times New Roman" w:cs="Times New Roman" w:eastAsia="Times New Roman" w:hAnsi="Times New Roman"/>
          <w:sz w:val="20"/>
          <w:szCs w:val="20"/>
          <w:color w:val="auto"/>
        </w:rPr>
      </w:pPr>
    </w:p>
    <w:p>
      <w:pPr>
        <w:ind w:left="660" w:firstLine="644"/>
        <w:spacing w:after="0" w:line="269" w:lineRule="auto"/>
        <w:tabs>
          <w:tab w:leader="none" w:pos="178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Except as expressly amended hereby, the Credit Agreement, the other Loan Documents and the Lease shall remain in full force and effect and are hereby ratified and confirmed.</w:t>
      </w:r>
    </w:p>
    <w:p>
      <w:pPr>
        <w:spacing w:after="0" w:line="199" w:lineRule="exact"/>
        <w:rPr>
          <w:rFonts w:ascii="Times New Roman" w:cs="Times New Roman" w:eastAsia="Times New Roman" w:hAnsi="Times New Roman"/>
          <w:sz w:val="20"/>
          <w:szCs w:val="20"/>
          <w:color w:val="auto"/>
        </w:rPr>
      </w:pPr>
    </w:p>
    <w:p>
      <w:pPr>
        <w:ind w:left="660" w:firstLine="644"/>
        <w:spacing w:after="0" w:line="283" w:lineRule="auto"/>
        <w:tabs>
          <w:tab w:leader="none" w:pos="1736"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Except as expressly provided herein, the execution, delivery and effectiveness of this Amendment shall not operate as a waiver of any right, power or remedy of Lender or</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Lee Enterprises</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Waiver and Amendment</w:t>
      </w:r>
    </w:p>
    <w:p>
      <w:pPr>
        <w:sectPr>
          <w:pgSz w:w="11900" w:h="16838" w:orient="portrait"/>
          <w:cols w:equalWidth="0" w:num="1">
            <w:col w:w="11240"/>
          </w:cols>
          <w:pgMar w:left="320" w:top="1413" w:right="339" w:bottom="1440" w:gutter="0" w:footer="0" w:header="0"/>
        </w:sectPr>
      </w:pPr>
    </w:p>
    <w:bookmarkStart w:id="5" w:name="page6"/>
    <w:bookmarkEnd w:id="5"/>
    <w:p>
      <w:pPr>
        <w:ind w:left="660"/>
        <w:spacing w:after="0" w:line="283" w:lineRule="auto"/>
        <w:rPr>
          <w:sz w:val="20"/>
          <w:szCs w:val="20"/>
          <w:color w:val="auto"/>
        </w:rPr>
      </w:pPr>
      <w:r>
        <w:rPr>
          <w:rFonts w:ascii="Times New Roman" w:cs="Times New Roman" w:eastAsia="Times New Roman" w:hAnsi="Times New Roman"/>
          <w:sz w:val="20"/>
          <w:szCs w:val="20"/>
          <w:color w:val="auto"/>
        </w:rPr>
        <w:t>Landlord under the Credit Agreement, any other Loan Document or the Lease, or constitute a waiver of any provision of the Credit Agreement, any other Loan Document or the Lease.</w:t>
      </w:r>
    </w:p>
    <w:p>
      <w:pPr>
        <w:spacing w:after="0" w:line="173" w:lineRule="exact"/>
        <w:rPr>
          <w:sz w:val="20"/>
          <w:szCs w:val="20"/>
          <w:color w:val="auto"/>
        </w:rPr>
      </w:pPr>
    </w:p>
    <w:p>
      <w:pPr>
        <w:jc w:val="both"/>
        <w:ind w:left="660" w:firstLine="644"/>
        <w:spacing w:after="0" w:line="257" w:lineRule="auto"/>
        <w:tabs>
          <w:tab w:leader="none" w:pos="1786"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Borrower acknowledges and agrees that: (i) as of the date hereof, Borrower has no defenses, claims or set-offs to the payment of the Obligations, Basic Rent, or other amounts due under the Credit Agreement, the other Loan Documents or the Lease or to the enforcement of the Credit Agreement, the other Loan Documents or the Lease; and (ii) the Liens granted pursuant to the Loan Documents remain valid perfected Liens in the assets of the Loan Parties securing the payment and performance of the Obligations.</w:t>
      </w:r>
    </w:p>
    <w:p>
      <w:pPr>
        <w:spacing w:after="0" w:line="173" w:lineRule="exact"/>
        <w:rPr>
          <w:sz w:val="20"/>
          <w:szCs w:val="20"/>
          <w:color w:val="auto"/>
        </w:rPr>
      </w:pPr>
    </w:p>
    <w:p>
      <w:pPr>
        <w:ind w:left="660"/>
        <w:spacing w:after="0"/>
        <w:tabs>
          <w:tab w:leader="none" w:pos="1080" w:val="left"/>
        </w:tabs>
        <w:rPr>
          <w:sz w:val="20"/>
          <w:szCs w:val="20"/>
          <w:color w:val="auto"/>
        </w:rPr>
      </w:pPr>
      <w:r>
        <w:rPr>
          <w:rFonts w:ascii="Times New Roman" w:cs="Times New Roman" w:eastAsia="Times New Roman" w:hAnsi="Times New Roman"/>
          <w:sz w:val="20"/>
          <w:szCs w:val="20"/>
          <w:color w:val="auto"/>
        </w:rPr>
        <w:t>4.2</w:t>
      </w:r>
      <w:r>
        <w:rPr>
          <w:sz w:val="20"/>
          <w:szCs w:val="20"/>
          <w:color w:val="auto"/>
        </w:rPr>
        <w:tab/>
      </w:r>
      <w:r>
        <w:rPr>
          <w:rFonts w:ascii="Times New Roman" w:cs="Times New Roman" w:eastAsia="Times New Roman" w:hAnsi="Times New Roman"/>
          <w:sz w:val="19"/>
          <w:szCs w:val="19"/>
          <w:u w:val="single" w:color="auto"/>
          <w:color w:val="auto"/>
        </w:rPr>
        <w:t>Representations and Warranties of Borrower</w:t>
      </w:r>
      <w:r>
        <w:rPr>
          <w:rFonts w:ascii="Times New Roman" w:cs="Times New Roman" w:eastAsia="Times New Roman" w:hAnsi="Times New Roman"/>
          <w:sz w:val="19"/>
          <w:szCs w:val="19"/>
          <w:color w:val="auto"/>
        </w:rPr>
        <w:t>. Borrower represents and warrants as follows:</w:t>
      </w:r>
    </w:p>
    <w:p>
      <w:pPr>
        <w:spacing w:after="0" w:line="200" w:lineRule="exact"/>
        <w:rPr>
          <w:sz w:val="20"/>
          <w:szCs w:val="20"/>
          <w:color w:val="auto"/>
        </w:rPr>
      </w:pPr>
    </w:p>
    <w:p>
      <w:pPr>
        <w:spacing w:after="0" w:line="272" w:lineRule="exact"/>
        <w:rPr>
          <w:sz w:val="20"/>
          <w:szCs w:val="20"/>
          <w:color w:val="auto"/>
        </w:rPr>
      </w:pPr>
    </w:p>
    <w:p>
      <w:pPr>
        <w:jc w:val="both"/>
        <w:ind w:left="660" w:firstLine="644"/>
        <w:spacing w:after="0" w:line="261" w:lineRule="auto"/>
        <w:tabs>
          <w:tab w:leader="none" w:pos="1765"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execution, delivery and performance by Borrower of this Amendment (i) are within Borrower’s powers, (ii) have been duly authorized by all necessary action, and (iii) do not contravene (A) Borrower’s Organization Documents, or (B) any law or contractual restriction binding on or affecting Borrower.</w:t>
      </w:r>
    </w:p>
    <w:p>
      <w:pPr>
        <w:spacing w:after="0" w:line="208" w:lineRule="exact"/>
        <w:rPr>
          <w:rFonts w:ascii="Times New Roman" w:cs="Times New Roman" w:eastAsia="Times New Roman" w:hAnsi="Times New Roman"/>
          <w:sz w:val="20"/>
          <w:szCs w:val="20"/>
          <w:color w:val="auto"/>
        </w:rPr>
      </w:pPr>
    </w:p>
    <w:p>
      <w:pPr>
        <w:jc w:val="both"/>
        <w:ind w:left="660" w:firstLine="644"/>
        <w:spacing w:after="0" w:line="261" w:lineRule="auto"/>
        <w:tabs>
          <w:tab w:leader="none" w:pos="183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This Amendment, the Credit Agreement (as amended hereby), the other Loan Documents and the Lease constitute legal, valid and binding obligations of Borrower and any other Loan Parties party thereto and are enforceable against Borrower and such other Loan Parties in accordance with their respective terms.</w:t>
      </w:r>
    </w:p>
    <w:p>
      <w:pPr>
        <w:spacing w:after="0" w:line="194" w:lineRule="exact"/>
        <w:rPr>
          <w:rFonts w:ascii="Times New Roman" w:cs="Times New Roman" w:eastAsia="Times New Roman" w:hAnsi="Times New Roman"/>
          <w:sz w:val="20"/>
          <w:szCs w:val="20"/>
          <w:color w:val="auto"/>
        </w:rPr>
      </w:pPr>
    </w:p>
    <w:p>
      <w:pPr>
        <w:ind w:left="1720" w:hanging="416"/>
        <w:spacing w:after="0"/>
        <w:tabs>
          <w:tab w:leader="none" w:pos="172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After giving effect to this Amendment, no Event of Default exists and is continuing.</w:t>
      </w:r>
    </w:p>
    <w:p>
      <w:pPr>
        <w:spacing w:after="0" w:line="256" w:lineRule="exact"/>
        <w:rPr>
          <w:sz w:val="20"/>
          <w:szCs w:val="20"/>
          <w:color w:val="auto"/>
        </w:rPr>
      </w:pPr>
    </w:p>
    <w:p>
      <w:pPr>
        <w:jc w:val="both"/>
        <w:ind w:firstLine="238"/>
        <w:spacing w:after="0" w:line="251" w:lineRule="auto"/>
        <w:rPr>
          <w:sz w:val="20"/>
          <w:szCs w:val="20"/>
          <w:color w:val="auto"/>
        </w:rPr>
      </w:pPr>
      <w:r>
        <w:rPr>
          <w:rFonts w:ascii="Times New Roman" w:cs="Times New Roman" w:eastAsia="Times New Roman" w:hAnsi="Times New Roman"/>
          <w:sz w:val="20"/>
          <w:szCs w:val="20"/>
          <w:color w:val="auto"/>
        </w:rPr>
        <w:t xml:space="preserve">4.3 </w:t>
      </w:r>
      <w:r>
        <w:rPr>
          <w:rFonts w:ascii="Times New Roman" w:cs="Times New Roman" w:eastAsia="Times New Roman" w:hAnsi="Times New Roman"/>
          <w:sz w:val="20"/>
          <w:szCs w:val="20"/>
          <w:u w:val="single" w:color="auto"/>
          <w:color w:val="auto"/>
        </w:rPr>
        <w:t>Execution in Counterparts</w:t>
      </w:r>
      <w:r>
        <w:rPr>
          <w:rFonts w:ascii="Times New Roman" w:cs="Times New Roman" w:eastAsia="Times New Roman" w:hAnsi="Times New Roman"/>
          <w:sz w:val="20"/>
          <w:szCs w:val="20"/>
          <w:color w:val="auto"/>
        </w:rPr>
        <w:t>. This Amendment may be executed in several counterparts and by each party on a separate counterpart, each of which when so executed and delivered shall be an original, and all of which together shall constitute one instrument. This Amendment shall be valid, binding and enforceable against a party only when executed by an authorized individual on behalf of the party by means of (a) a DocuSign® electronic signature, (b) an original, manual signature, or (c) a faxed, electronic image scan transmission (e.g., “pdf” or “tif” via electronic mail) or photocopied manual signature. Each DocuSign®, faxed, electronic image scan transmission (e.g., “pdf” or “tif” via electronic mail) or photocopied manual signature shall for all purposes have the same validity, legal effect and admissibility in evidence as an original manual signature.</w:t>
      </w:r>
    </w:p>
    <w:p>
      <w:pPr>
        <w:spacing w:after="0" w:line="220" w:lineRule="exact"/>
        <w:rPr>
          <w:sz w:val="20"/>
          <w:szCs w:val="20"/>
          <w:color w:val="auto"/>
        </w:rPr>
      </w:pPr>
    </w:p>
    <w:p>
      <w:pPr>
        <w:jc w:val="both"/>
        <w:ind w:firstLine="218"/>
        <w:spacing w:after="0" w:line="261" w:lineRule="auto"/>
        <w:rPr>
          <w:sz w:val="20"/>
          <w:szCs w:val="20"/>
          <w:color w:val="auto"/>
        </w:rPr>
      </w:pPr>
      <w:r>
        <w:rPr>
          <w:rFonts w:ascii="Times New Roman" w:cs="Times New Roman" w:eastAsia="Times New Roman" w:hAnsi="Times New Roman"/>
          <w:sz w:val="20"/>
          <w:szCs w:val="20"/>
          <w:color w:val="auto"/>
        </w:rPr>
        <w:t xml:space="preserve">4.4 </w:t>
      </w:r>
      <w:r>
        <w:rPr>
          <w:rFonts w:ascii="Times New Roman" w:cs="Times New Roman" w:eastAsia="Times New Roman" w:hAnsi="Times New Roman"/>
          <w:sz w:val="20"/>
          <w:szCs w:val="20"/>
          <w:u w:val="single" w:color="auto"/>
          <w:color w:val="auto"/>
        </w:rPr>
        <w:t>Governing Law; Venue; Waiver of Jury Trial</w:t>
      </w:r>
      <w:r>
        <w:rPr>
          <w:rFonts w:ascii="Times New Roman" w:cs="Times New Roman" w:eastAsia="Times New Roman" w:hAnsi="Times New Roman"/>
          <w:sz w:val="20"/>
          <w:szCs w:val="20"/>
          <w:color w:val="auto"/>
        </w:rPr>
        <w:t xml:space="preserve">. This Amendment shall be governed by, and construed in accordance with, the laws of the State of New York, without regard to its principles of conflict of laws. The terms of </w:t>
      </w:r>
      <w:r>
        <w:rPr>
          <w:rFonts w:ascii="Times New Roman" w:cs="Times New Roman" w:eastAsia="Times New Roman" w:hAnsi="Times New Roman"/>
          <w:sz w:val="20"/>
          <w:szCs w:val="20"/>
          <w:u w:val="single" w:color="auto"/>
          <w:color w:val="auto"/>
        </w:rPr>
        <w:t>Section 8.13(b)</w:t>
      </w:r>
      <w:r>
        <w:rPr>
          <w:rFonts w:ascii="Times New Roman" w:cs="Times New Roman" w:eastAsia="Times New Roman" w:hAnsi="Times New Roman"/>
          <w:sz w:val="20"/>
          <w:szCs w:val="20"/>
          <w:color w:val="auto"/>
        </w:rPr>
        <w:t xml:space="preserve"> through </w:t>
      </w:r>
      <w:r>
        <w:rPr>
          <w:rFonts w:ascii="Times New Roman" w:cs="Times New Roman" w:eastAsia="Times New Roman" w:hAnsi="Times New Roman"/>
          <w:sz w:val="20"/>
          <w:szCs w:val="20"/>
          <w:u w:val="single" w:color="auto"/>
          <w:color w:val="auto"/>
        </w:rPr>
        <w:t>(d)</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Section 8.14</w:t>
      </w:r>
      <w:r>
        <w:rPr>
          <w:rFonts w:ascii="Times New Roman" w:cs="Times New Roman" w:eastAsia="Times New Roman" w:hAnsi="Times New Roman"/>
          <w:sz w:val="20"/>
          <w:szCs w:val="20"/>
          <w:color w:val="auto"/>
        </w:rPr>
        <w:t xml:space="preserve"> of the Credit Agreement are incorporated herein by reference.</w:t>
      </w:r>
    </w:p>
    <w:p>
      <w:pPr>
        <w:spacing w:after="0" w:line="208" w:lineRule="exact"/>
        <w:rPr>
          <w:sz w:val="20"/>
          <w:szCs w:val="20"/>
          <w:color w:val="auto"/>
        </w:rPr>
      </w:pPr>
    </w:p>
    <w:p>
      <w:pPr>
        <w:ind w:left="200"/>
        <w:spacing w:after="0"/>
        <w:tabs>
          <w:tab w:leader="none" w:pos="640" w:val="left"/>
        </w:tabs>
        <w:rPr>
          <w:sz w:val="20"/>
          <w:szCs w:val="20"/>
          <w:color w:val="auto"/>
        </w:rPr>
      </w:pPr>
      <w:r>
        <w:rPr>
          <w:rFonts w:ascii="Times New Roman" w:cs="Times New Roman" w:eastAsia="Times New Roman" w:hAnsi="Times New Roman"/>
          <w:sz w:val="20"/>
          <w:szCs w:val="20"/>
          <w:color w:val="auto"/>
        </w:rPr>
        <w:t>4.5</w:t>
      </w:r>
      <w:r>
        <w:rPr>
          <w:sz w:val="20"/>
          <w:szCs w:val="20"/>
          <w:color w:val="auto"/>
        </w:rPr>
        <w:tab/>
      </w:r>
      <w:r>
        <w:rPr>
          <w:rFonts w:ascii="Times New Roman" w:cs="Times New Roman" w:eastAsia="Times New Roman" w:hAnsi="Times New Roman"/>
          <w:sz w:val="19"/>
          <w:szCs w:val="19"/>
          <w:u w:val="single" w:color="auto"/>
          <w:color w:val="auto"/>
        </w:rPr>
        <w:t>Amendment is a Loan Document</w:t>
      </w:r>
      <w:r>
        <w:rPr>
          <w:rFonts w:ascii="Times New Roman" w:cs="Times New Roman" w:eastAsia="Times New Roman" w:hAnsi="Times New Roman"/>
          <w:sz w:val="19"/>
          <w:szCs w:val="19"/>
          <w:color w:val="auto"/>
        </w:rPr>
        <w:t>. This Amendment is a Loan Document.</w:t>
      </w: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i w:val="1"/>
          <w:iCs w:val="1"/>
          <w:color w:val="auto"/>
        </w:rPr>
        <w:t>[remainder of page intentionally left blank; signature page follows]</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Lee Enterprises</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Waiver and Amendment</w:t>
      </w:r>
    </w:p>
    <w:p>
      <w:pPr>
        <w:sectPr>
          <w:pgSz w:w="11900" w:h="16838" w:orient="portrait"/>
          <w:cols w:equalWidth="0" w:num="1">
            <w:col w:w="11240"/>
          </w:cols>
          <w:pgMar w:left="320" w:top="1413" w:right="339" w:bottom="1440" w:gutter="0" w:footer="0" w:header="0"/>
        </w:sectPr>
      </w:pPr>
    </w:p>
    <w:bookmarkStart w:id="6" w:name="page7"/>
    <w:bookmarkEnd w:id="6"/>
    <w:p>
      <w:pPr>
        <w:ind w:left="660"/>
        <w:spacing w:after="0"/>
        <w:rPr>
          <w:sz w:val="20"/>
          <w:szCs w:val="20"/>
          <w:color w:val="auto"/>
        </w:rPr>
      </w:pPr>
      <w:r>
        <w:rPr>
          <w:rFonts w:ascii="Times New Roman" w:cs="Times New Roman" w:eastAsia="Times New Roman" w:hAnsi="Times New Roman"/>
          <w:sz w:val="19"/>
          <w:szCs w:val="19"/>
          <w:color w:val="auto"/>
        </w:rPr>
        <w:t>IN WITNESS WHEREOF, the parties have caused this Amendment to be executed as of the date first above written.</w:t>
      </w:r>
    </w:p>
    <w:p>
      <w:pPr>
        <w:spacing w:after="0" w:line="264"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b w:val="1"/>
          <w:bCs w:val="1"/>
          <w:color w:val="auto"/>
        </w:rPr>
        <w:t>BORROWER:</w:t>
      </w:r>
    </w:p>
    <w:p>
      <w:pPr>
        <w:spacing w:after="0" w:line="247"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LEE ENTERPRISES, INCORPORATED,</w:t>
      </w:r>
    </w:p>
    <w:p>
      <w:pPr>
        <w:spacing w:after="0" w:line="28"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a Delaware corporation</w:t>
      </w:r>
    </w:p>
    <w:p>
      <w:pPr>
        <w:spacing w:after="0" w:line="227"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By: /s/ Timothy R. Millage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2686685</wp:posOffset>
            </wp:positionH>
            <wp:positionV relativeFrom="paragraph">
              <wp:posOffset>-10795</wp:posOffset>
            </wp:positionV>
            <wp:extent cx="130429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304290" cy="8890"/>
                    </a:xfrm>
                    <a:prstGeom prst="rect">
                      <a:avLst/>
                    </a:prstGeom>
                    <a:noFill/>
                  </pic:spPr>
                </pic:pic>
              </a:graphicData>
            </a:graphic>
          </wp:anchor>
        </w:drawing>
      </w:r>
    </w:p>
    <w:p>
      <w:pPr>
        <w:spacing w:after="0" w:line="8"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Name: Timothy R. Millage</w:t>
      </w:r>
    </w:p>
    <w:p>
      <w:pPr>
        <w:spacing w:after="0" w:line="13"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Title: VP, CFO &amp; Treasurer</w:t>
      </w:r>
    </w:p>
    <w:p>
      <w:pPr>
        <w:spacing w:after="0" w:line="223"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b w:val="1"/>
          <w:bCs w:val="1"/>
          <w:color w:val="auto"/>
        </w:rPr>
        <w:t>LENDER:</w:t>
      </w:r>
    </w:p>
    <w:p>
      <w:pPr>
        <w:spacing w:after="0" w:line="260"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BH FINANCE LLC,</w:t>
      </w:r>
    </w:p>
    <w:p>
      <w:pPr>
        <w:spacing w:after="0" w:line="22"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a Nebraska limited liability company</w:t>
      </w:r>
    </w:p>
    <w:p>
      <w:pPr>
        <w:spacing w:after="0" w:line="234"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By:_</w:t>
      </w:r>
      <w:r>
        <w:rPr>
          <w:rFonts w:ascii="Times New Roman" w:cs="Times New Roman" w:eastAsia="Times New Roman" w:hAnsi="Times New Roman"/>
          <w:sz w:val="20"/>
          <w:szCs w:val="20"/>
          <w:u w:val="single" w:color="auto"/>
          <w:color w:val="auto"/>
        </w:rPr>
        <w:t>/s/ Ted Weschler</w:t>
      </w:r>
      <w:r>
        <w:rPr>
          <w:rFonts w:ascii="Times New Roman" w:cs="Times New Roman" w:eastAsia="Times New Roman" w:hAnsi="Times New Roman"/>
          <w:sz w:val="20"/>
          <w:szCs w:val="20"/>
          <w:color w:val="auto"/>
        </w:rPr>
        <w:t>________________</w:t>
      </w:r>
    </w:p>
    <w:p>
      <w:pPr>
        <w:spacing w:after="0" w:line="28"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Name: Ted Weschler</w:t>
      </w:r>
    </w:p>
    <w:p>
      <w:pPr>
        <w:spacing w:after="0" w:line="6"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Title: Authorized Signatory</w:t>
      </w:r>
    </w:p>
    <w:p>
      <w:pPr>
        <w:spacing w:after="0" w:line="230"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b w:val="1"/>
          <w:bCs w:val="1"/>
          <w:color w:val="auto"/>
        </w:rPr>
        <w:t>LANDLORD:</w:t>
      </w:r>
    </w:p>
    <w:p>
      <w:pPr>
        <w:spacing w:after="0" w:line="247"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BH MEDIA GROUP, INC.,</w:t>
      </w:r>
    </w:p>
    <w:p>
      <w:pPr>
        <w:spacing w:after="0" w:line="28"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a Delaware corporation</w:t>
      </w:r>
    </w:p>
    <w:p>
      <w:pPr>
        <w:spacing w:after="0" w:line="241"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By:_</w:t>
      </w:r>
      <w:r>
        <w:rPr>
          <w:rFonts w:ascii="Times New Roman" w:cs="Times New Roman" w:eastAsia="Times New Roman" w:hAnsi="Times New Roman"/>
          <w:sz w:val="20"/>
          <w:szCs w:val="20"/>
          <w:u w:val="single" w:color="auto"/>
          <w:color w:val="auto"/>
        </w:rPr>
        <w:t>/s/ Ted Weschler</w:t>
      </w:r>
      <w:r>
        <w:rPr>
          <w:rFonts w:ascii="Times New Roman" w:cs="Times New Roman" w:eastAsia="Times New Roman" w:hAnsi="Times New Roman"/>
          <w:sz w:val="20"/>
          <w:szCs w:val="20"/>
          <w:color w:val="auto"/>
        </w:rPr>
        <w:t>________________</w:t>
      </w:r>
    </w:p>
    <w:p>
      <w:pPr>
        <w:spacing w:after="0" w:line="22"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Name: Ted Weschler</w:t>
      </w:r>
    </w:p>
    <w:p>
      <w:pPr>
        <w:spacing w:after="0" w:line="6"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Title: Authorized Signatory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Lee Enterprises</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Waiver and Amendment</w:t>
      </w:r>
    </w:p>
    <w:sectPr>
      <w:pgSz w:w="11900" w:h="16838" w:orient="portrait"/>
      <w:cols w:equalWidth="0" w:num="1">
        <w:col w:w="10139"/>
      </w:cols>
      <w:pgMar w:left="320" w:top="1413"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19495CFF"/>
    <w:multiLevelType w:val="hybridMultilevel"/>
    <w:lvl w:ilvl="0">
      <w:lvlJc w:val="left"/>
      <w:lvlText w:val="o"/>
      <w:numFmt w:val="bullet"/>
      <w:start w:val="1"/>
    </w:lvl>
  </w:abstractNum>
  <w:abstractNum w:abstractNumId="1">
    <w:nsid w:val="2AE8944A"/>
    <w:multiLevelType w:val="hybridMultilevel"/>
    <w:lvl w:ilvl="0">
      <w:lvlJc w:val="left"/>
      <w:lvlText w:val="(%1)"/>
      <w:numFmt w:val="lowerRoman"/>
      <w:start w:val="1"/>
    </w:lvl>
  </w:abstractNum>
  <w:abstractNum w:abstractNumId="2">
    <w:nsid w:val="625558EC"/>
    <w:multiLevelType w:val="hybridMultilevel"/>
    <w:lvl w:ilvl="0">
      <w:lvlJc w:val="left"/>
      <w:lvlText w:val="(%1)"/>
      <w:numFmt w:val="lowerLetter"/>
      <w:start w:val="1"/>
    </w:lvl>
  </w:abstractNum>
  <w:abstractNum w:abstractNumId="3">
    <w:nsid w:val="238E1F29"/>
    <w:multiLevelType w:val="hybridMultilevel"/>
    <w:lvl w:ilvl="0">
      <w:lvlJc w:val="left"/>
      <w:lvlText w:val="(%1)"/>
      <w:numFmt w:val="lowerLetter"/>
      <w:start w:val="4"/>
    </w:lvl>
  </w:abstractNum>
  <w:abstractNum w:abstractNumId="4">
    <w:nsid w:val="46E87CCD"/>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2025-05-05T16:14:55Z</dcterms:created>
  <dcterms:modified xsi:type="dcterms:W3CDTF">2025-05-05T16:14:55Z</dcterms:modified>
</cp:coreProperties>
</file>