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43" w:lineRule="exact"/>
        <w:rPr>
          <w:sz w:val="24"/>
          <w:szCs w:val="24"/>
          <w:color w:val="auto"/>
        </w:rPr>
      </w:pPr>
    </w:p>
    <w:p>
      <w:pPr>
        <w:ind w:left="4780"/>
        <w:spacing w:after="0"/>
        <w:rPr>
          <w:sz w:val="20"/>
          <w:szCs w:val="20"/>
          <w:color w:val="auto"/>
        </w:rPr>
      </w:pPr>
      <w:r>
        <w:rPr>
          <w:rFonts w:ascii="Arial" w:cs="Arial" w:eastAsia="Arial" w:hAnsi="Arial"/>
          <w:sz w:val="18"/>
          <w:szCs w:val="18"/>
          <w:color w:val="auto"/>
        </w:rPr>
        <w:t>CURRENT REPORT</w:t>
      </w:r>
    </w:p>
    <w:p>
      <w:pPr>
        <w:spacing w:after="0" w:line="117"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27, 2025</w:t>
      </w:r>
    </w:p>
    <w:p>
      <w:pPr>
        <w:spacing w:after="0" w:line="27"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_______________________________________________________________________________________</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LEE ENTERPRISES, INCORPORATED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_______________________________________________________________________________________</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3540" w:type="dxa"/>
            <w:vAlign w:val="bottom"/>
          </w:tcPr>
          <w:p>
            <w:pPr>
              <w:jc w:val="center"/>
              <w:ind w:left="130"/>
              <w:spacing w:after="0"/>
              <w:rPr>
                <w:sz w:val="20"/>
                <w:szCs w:val="20"/>
                <w:color w:val="auto"/>
              </w:rPr>
            </w:pPr>
            <w:r>
              <w:rPr>
                <w:rFonts w:ascii="Arial" w:cs="Arial" w:eastAsia="Arial" w:hAnsi="Arial"/>
                <w:sz w:val="18"/>
                <w:szCs w:val="18"/>
                <w:color w:val="auto"/>
                <w:w w:val="99"/>
              </w:rPr>
              <w:t>Delaware</w:t>
            </w:r>
          </w:p>
        </w:tc>
        <w:tc>
          <w:tcPr>
            <w:tcW w:w="4140" w:type="dxa"/>
            <w:vAlign w:val="bottom"/>
          </w:tcPr>
          <w:p>
            <w:pPr>
              <w:jc w:val="right"/>
              <w:ind w:right="1690"/>
              <w:spacing w:after="0"/>
              <w:rPr>
                <w:sz w:val="20"/>
                <w:szCs w:val="20"/>
                <w:color w:val="auto"/>
              </w:rPr>
            </w:pPr>
            <w:r>
              <w:rPr>
                <w:rFonts w:ascii="Arial" w:cs="Arial" w:eastAsia="Arial" w:hAnsi="Arial"/>
                <w:sz w:val="18"/>
                <w:szCs w:val="18"/>
                <w:color w:val="auto"/>
              </w:rPr>
              <w:t>1-6227</w:t>
            </w:r>
          </w:p>
        </w:tc>
        <w:tc>
          <w:tcPr>
            <w:tcW w:w="3560" w:type="dxa"/>
            <w:vAlign w:val="bottom"/>
          </w:tcPr>
          <w:p>
            <w:pPr>
              <w:jc w:val="center"/>
              <w:ind w:right="110"/>
              <w:spacing w:after="0"/>
              <w:rPr>
                <w:sz w:val="20"/>
                <w:szCs w:val="20"/>
                <w:color w:val="auto"/>
              </w:rPr>
            </w:pPr>
            <w:r>
              <w:rPr>
                <w:rFonts w:ascii="Arial" w:cs="Arial" w:eastAsia="Arial" w:hAnsi="Arial"/>
                <w:sz w:val="18"/>
                <w:szCs w:val="18"/>
                <w:color w:val="auto"/>
                <w:w w:val="99"/>
              </w:rPr>
              <w:t>42-0823980</w:t>
            </w:r>
          </w:p>
        </w:tc>
      </w:tr>
      <w:tr>
        <w:trPr>
          <w:trHeight w:val="257"/>
        </w:trPr>
        <w:tc>
          <w:tcPr>
            <w:tcW w:w="3540" w:type="dxa"/>
            <w:vAlign w:val="bottom"/>
          </w:tcPr>
          <w:p>
            <w:pPr>
              <w:jc w:val="center"/>
              <w:ind w:left="130"/>
              <w:spacing w:after="0"/>
              <w:rPr>
                <w:sz w:val="20"/>
                <w:szCs w:val="20"/>
                <w:color w:val="auto"/>
              </w:rPr>
            </w:pPr>
            <w:r>
              <w:rPr>
                <w:rFonts w:ascii="Arial" w:cs="Arial" w:eastAsia="Arial" w:hAnsi="Arial"/>
                <w:sz w:val="18"/>
                <w:szCs w:val="18"/>
                <w:color w:val="auto"/>
                <w:w w:val="99"/>
              </w:rPr>
              <w:t>(State of Incorporation)</w:t>
            </w: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560" w:type="dxa"/>
            <w:vAlign w:val="bottom"/>
          </w:tcPr>
          <w:p>
            <w:pPr>
              <w:jc w:val="center"/>
              <w:ind w:right="110"/>
              <w:spacing w:after="0"/>
              <w:rPr>
                <w:sz w:val="20"/>
                <w:szCs w:val="20"/>
                <w:color w:val="auto"/>
              </w:rPr>
            </w:pPr>
            <w:r>
              <w:rPr>
                <w:rFonts w:ascii="Arial" w:cs="Arial" w:eastAsia="Arial" w:hAnsi="Arial"/>
                <w:sz w:val="18"/>
                <w:szCs w:val="18"/>
                <w:color w:val="auto"/>
                <w:w w:val="99"/>
              </w:rPr>
              <w:t>(I.R.S. Employer Identification No.)</w:t>
            </w:r>
          </w:p>
        </w:tc>
      </w:tr>
      <w:tr>
        <w:trPr>
          <w:trHeight w:val="527"/>
        </w:trPr>
        <w:tc>
          <w:tcPr>
            <w:tcW w:w="354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4600 E. 53rd Street, Davenport, Iowa 52807</w:t>
            </w:r>
          </w:p>
        </w:tc>
        <w:tc>
          <w:tcPr>
            <w:tcW w:w="3560" w:type="dxa"/>
            <w:vAlign w:val="bottom"/>
          </w:tcPr>
          <w:p>
            <w:pPr>
              <w:spacing w:after="0"/>
              <w:rPr>
                <w:sz w:val="24"/>
                <w:szCs w:val="24"/>
                <w:color w:val="auto"/>
              </w:rPr>
            </w:pPr>
          </w:p>
        </w:tc>
      </w:tr>
      <w:tr>
        <w:trPr>
          <w:trHeight w:val="256"/>
        </w:trPr>
        <w:tc>
          <w:tcPr>
            <w:tcW w:w="3540" w:type="dxa"/>
            <w:vAlign w:val="bottom"/>
          </w:tcPr>
          <w:p>
            <w:pPr>
              <w:spacing w:after="0"/>
              <w:rPr>
                <w:sz w:val="22"/>
                <w:szCs w:val="22"/>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3560" w:type="dxa"/>
            <w:vAlign w:val="bottom"/>
          </w:tcPr>
          <w:p>
            <w:pPr>
              <w:spacing w:after="0"/>
              <w:rPr>
                <w:sz w:val="22"/>
                <w:szCs w:val="22"/>
                <w:color w:val="auto"/>
              </w:rPr>
            </w:pPr>
          </w:p>
        </w:tc>
      </w:tr>
      <w:tr>
        <w:trPr>
          <w:trHeight w:val="513"/>
        </w:trPr>
        <w:tc>
          <w:tcPr>
            <w:tcW w:w="3540" w:type="dxa"/>
            <w:vAlign w:val="bottom"/>
          </w:tcPr>
          <w:p>
            <w:pPr>
              <w:spacing w:after="0"/>
              <w:rPr>
                <w:sz w:val="24"/>
                <w:szCs w:val="24"/>
                <w:color w:val="auto"/>
              </w:rPr>
            </w:pPr>
          </w:p>
        </w:tc>
        <w:tc>
          <w:tcPr>
            <w:tcW w:w="4140" w:type="dxa"/>
            <w:vAlign w:val="bottom"/>
          </w:tcPr>
          <w:p>
            <w:pPr>
              <w:jc w:val="right"/>
              <w:ind w:right="1370"/>
              <w:spacing w:after="0"/>
              <w:rPr>
                <w:sz w:val="20"/>
                <w:szCs w:val="20"/>
                <w:color w:val="auto"/>
              </w:rPr>
            </w:pPr>
            <w:r>
              <w:rPr>
                <w:rFonts w:ascii="Arial" w:cs="Arial" w:eastAsia="Arial" w:hAnsi="Arial"/>
                <w:sz w:val="18"/>
                <w:szCs w:val="18"/>
                <w:color w:val="auto"/>
              </w:rPr>
              <w:t>(563) 383-2100</w:t>
            </w:r>
          </w:p>
        </w:tc>
        <w:tc>
          <w:tcPr>
            <w:tcW w:w="3560" w:type="dxa"/>
            <w:vAlign w:val="bottom"/>
          </w:tcPr>
          <w:p>
            <w:pPr>
              <w:spacing w:after="0"/>
              <w:rPr>
                <w:sz w:val="24"/>
                <w:szCs w:val="24"/>
                <w:color w:val="auto"/>
              </w:rPr>
            </w:pPr>
          </w:p>
        </w:tc>
      </w:tr>
      <w:tr>
        <w:trPr>
          <w:trHeight w:val="247"/>
        </w:trPr>
        <w:tc>
          <w:tcPr>
            <w:tcW w:w="3540" w:type="dxa"/>
            <w:vAlign w:val="bottom"/>
          </w:tcPr>
          <w:p>
            <w:pPr>
              <w:spacing w:after="0"/>
              <w:rPr>
                <w:sz w:val="21"/>
                <w:szCs w:val="21"/>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Registrant’s telephone number, including area</w:t>
            </w:r>
          </w:p>
        </w:tc>
        <w:tc>
          <w:tcPr>
            <w:tcW w:w="3560" w:type="dxa"/>
            <w:vAlign w:val="bottom"/>
          </w:tcPr>
          <w:p>
            <w:pPr>
              <w:spacing w:after="0"/>
              <w:rPr>
                <w:sz w:val="21"/>
                <w:szCs w:val="21"/>
                <w:color w:val="auto"/>
              </w:rPr>
            </w:pPr>
          </w:p>
        </w:tc>
      </w:tr>
      <w:tr>
        <w:trPr>
          <w:trHeight w:val="239"/>
        </w:trPr>
        <w:tc>
          <w:tcPr>
            <w:tcW w:w="354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7"/>
              </w:rPr>
              <w:t>code</w:t>
            </w:r>
          </w:p>
        </w:tc>
        <w:tc>
          <w:tcPr>
            <w:tcW w:w="3560" w:type="dxa"/>
            <w:vAlign w:val="bottom"/>
          </w:tcPr>
          <w:p>
            <w:pPr>
              <w:spacing w:after="0"/>
              <w:rPr>
                <w:sz w:val="20"/>
                <w:szCs w:val="20"/>
                <w:color w:val="auto"/>
              </w:rPr>
            </w:pPr>
          </w:p>
        </w:tc>
      </w:tr>
      <w:tr>
        <w:trPr>
          <w:trHeight w:val="454"/>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3560" w:type="dxa"/>
            <w:vAlign w:val="bottom"/>
          </w:tcPr>
          <w:p>
            <w:pPr>
              <w:spacing w:after="0"/>
              <w:rPr>
                <w:sz w:val="24"/>
                <w:szCs w:val="24"/>
                <w:color w:val="auto"/>
              </w:rPr>
            </w:pPr>
          </w:p>
        </w:tc>
      </w:tr>
      <w:tr>
        <w:trPr>
          <w:trHeight w:val="334"/>
        </w:trPr>
        <w:tc>
          <w:tcPr>
            <w:tcW w:w="354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Title of each class</w:t>
            </w: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99"/>
              </w:rPr>
              <w:t>Trading Symbol(s)</w:t>
            </w:r>
          </w:p>
        </w:tc>
        <w:tc>
          <w:tcPr>
            <w:tcW w:w="356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Name of each exchange on which</w:t>
            </w:r>
          </w:p>
        </w:tc>
      </w:tr>
      <w:tr>
        <w:trPr>
          <w:trHeight w:val="248"/>
        </w:trPr>
        <w:tc>
          <w:tcPr>
            <w:tcW w:w="3540" w:type="dxa"/>
            <w:vAlign w:val="bottom"/>
            <w:tcBorders>
              <w:bottom w:val="single" w:sz="8" w:color="auto"/>
            </w:tcBorders>
          </w:tcPr>
          <w:p>
            <w:pPr>
              <w:spacing w:after="0"/>
              <w:rPr>
                <w:sz w:val="21"/>
                <w:szCs w:val="21"/>
                <w:color w:val="auto"/>
              </w:rPr>
            </w:pPr>
          </w:p>
        </w:tc>
        <w:tc>
          <w:tcPr>
            <w:tcW w:w="414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rPr>
              <w:t>registered</w:t>
            </w:r>
          </w:p>
        </w:tc>
      </w:tr>
      <w:tr>
        <w:trPr>
          <w:trHeight w:val="241"/>
        </w:trPr>
        <w:tc>
          <w:tcPr>
            <w:tcW w:w="3540" w:type="dxa"/>
            <w:vAlign w:val="bottom"/>
          </w:tcPr>
          <w:p>
            <w:pPr>
              <w:ind w:left="20"/>
              <w:spacing w:after="0"/>
              <w:rPr>
                <w:sz w:val="20"/>
                <w:szCs w:val="20"/>
                <w:color w:val="auto"/>
              </w:rPr>
            </w:pPr>
            <w:r>
              <w:rPr>
                <w:rFonts w:ascii="Arial" w:cs="Arial" w:eastAsia="Arial" w:hAnsi="Arial"/>
                <w:sz w:val="18"/>
                <w:szCs w:val="18"/>
                <w:color w:val="auto"/>
              </w:rPr>
              <w:t>Common Stock, par value $.01 per share</w:t>
            </w: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LEE</w:t>
            </w:r>
          </w:p>
        </w:tc>
        <w:tc>
          <w:tcPr>
            <w:tcW w:w="3560" w:type="dxa"/>
            <w:vAlign w:val="bottom"/>
          </w:tcPr>
          <w:p>
            <w:pPr>
              <w:jc w:val="center"/>
              <w:ind w:right="90"/>
              <w:spacing w:after="0"/>
              <w:rPr>
                <w:sz w:val="20"/>
                <w:szCs w:val="20"/>
                <w:color w:val="auto"/>
              </w:rPr>
            </w:pPr>
            <w:r>
              <w:rPr>
                <w:rFonts w:ascii="Arial" w:cs="Arial" w:eastAsia="Arial" w:hAnsi="Arial"/>
                <w:sz w:val="18"/>
                <w:szCs w:val="18"/>
                <w:color w:val="auto"/>
                <w:w w:val="99"/>
              </w:rPr>
              <w:t>The Nasdaq Global Select Market</w:t>
            </w:r>
          </w:p>
        </w:tc>
      </w:tr>
    </w:tbl>
    <w:p>
      <w:pPr>
        <w:spacing w:after="0" w:line="180"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9"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Pre-commencement communications pursuant to Rule 13e-4(c) under the Exchange Act (17 CFR 240.13e-4(c))</w:t>
      </w:r>
    </w:p>
    <w:p>
      <w:pPr>
        <w:spacing w:after="0" w:line="293" w:lineRule="exact"/>
        <w:rPr>
          <w:sz w:val="24"/>
          <w:szCs w:val="24"/>
          <w:color w:val="auto"/>
        </w:rPr>
      </w:pPr>
    </w:p>
    <w:p>
      <w:pPr>
        <w:spacing w:after="0" w:line="26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880"/>
        <w:spacing w:after="0"/>
        <w:rPr>
          <w:sz w:val="20"/>
          <w:szCs w:val="20"/>
          <w:color w:val="auto"/>
        </w:rPr>
      </w:pPr>
      <w:r>
        <w:rPr>
          <w:rFonts w:ascii="Arial" w:cs="Arial" w:eastAsia="Arial" w:hAnsi="Arial"/>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0" w:lineRule="exact"/>
        <w:rPr>
          <w:sz w:val="24"/>
          <w:szCs w:val="24"/>
          <w:color w:val="auto"/>
        </w:rPr>
      </w:pPr>
    </w:p>
    <w:p>
      <w:pPr>
        <w:ind w:right="20"/>
        <w:spacing w:after="0" w:line="28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Lee Enterprises, Incorporated (the “Company”) held its 2025 annual meeting of shareholders (the “Annual Meeting”) on February 27,</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2025.</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February 27, 2025, Broadridge Investor Communication Solutions, Inc., the independent inspector of election for the Annual Meeting (the “Inspector of Election”), issued its final report certifying the final voting results for the Annual Meeting. Set forth below are the final voting results as provided by the Inspector of Election.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share of our common stock, par value $0.01 per share (“Common Stock”) outstanding on December 31, 2024, the record date</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for the Annual Meeting (the “Record Date”), had one vote on each proposal. On the Record Date, there were 6,190,328 shares of Common Stock outstanding. Present at the Annual Meeting were holders of 4,939,760 shares of Common Stock, all represented by proxy, or 79.80%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the outstanding shares entitled to vote at the Annual Meeting as of the Record Date, constituting a quorum.</w:t>
      </w:r>
    </w:p>
    <w:p>
      <w:pPr>
        <w:spacing w:after="0" w:line="2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shareholders voted to re-elect each of Mary E. Junck, Herbert W. Moloney III and Kevin D. Mowbray as a director to serve for a three-year term expiring at the Company’s 2028 annual meeting of shareholders. Votes were cast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720" w:type="dxa"/>
            <w:vAlign w:val="bottom"/>
          </w:tcPr>
          <w:p>
            <w:pPr>
              <w:spacing w:after="0"/>
              <w:rPr>
                <w:sz w:val="20"/>
                <w:szCs w:val="20"/>
                <w:color w:val="auto"/>
              </w:rPr>
            </w:pPr>
          </w:p>
        </w:tc>
        <w:tc>
          <w:tcPr>
            <w:tcW w:w="2360" w:type="dxa"/>
            <w:vAlign w:val="bottom"/>
          </w:tcPr>
          <w:p>
            <w:pPr>
              <w:jc w:val="center"/>
              <w:ind w:left="130"/>
              <w:spacing w:after="0"/>
              <w:rPr>
                <w:sz w:val="20"/>
                <w:szCs w:val="20"/>
                <w:color w:val="auto"/>
              </w:rPr>
            </w:pPr>
            <w:r>
              <w:rPr>
                <w:rFonts w:ascii="Arial" w:cs="Arial" w:eastAsia="Arial" w:hAnsi="Arial"/>
                <w:sz w:val="18"/>
                <w:szCs w:val="18"/>
                <w:b w:val="1"/>
                <w:bCs w:val="1"/>
                <w:color w:val="auto"/>
              </w:rPr>
              <w:t>For</w:t>
            </w:r>
          </w:p>
        </w:tc>
        <w:tc>
          <w:tcPr>
            <w:tcW w:w="2020" w:type="dxa"/>
            <w:vAlign w:val="bottom"/>
          </w:tcPr>
          <w:p>
            <w:pPr>
              <w:ind w:left="660"/>
              <w:spacing w:after="0"/>
              <w:rPr>
                <w:sz w:val="20"/>
                <w:szCs w:val="20"/>
                <w:color w:val="auto"/>
              </w:rPr>
            </w:pPr>
            <w:r>
              <w:rPr>
                <w:rFonts w:ascii="Arial" w:cs="Arial" w:eastAsia="Arial" w:hAnsi="Arial"/>
                <w:sz w:val="18"/>
                <w:szCs w:val="18"/>
                <w:b w:val="1"/>
                <w:bCs w:val="1"/>
                <w:color w:val="auto"/>
              </w:rPr>
              <w:t>Against</w:t>
            </w:r>
          </w:p>
        </w:tc>
        <w:tc>
          <w:tcPr>
            <w:tcW w:w="1860" w:type="dxa"/>
            <w:vAlign w:val="bottom"/>
          </w:tcPr>
          <w:p>
            <w:pPr>
              <w:jc w:val="center"/>
              <w:ind w:left="150"/>
              <w:spacing w:after="0"/>
              <w:rPr>
                <w:sz w:val="20"/>
                <w:szCs w:val="20"/>
                <w:color w:val="auto"/>
              </w:rPr>
            </w:pPr>
            <w:r>
              <w:rPr>
                <w:rFonts w:ascii="Arial" w:cs="Arial" w:eastAsia="Arial" w:hAnsi="Arial"/>
                <w:sz w:val="18"/>
                <w:szCs w:val="18"/>
                <w:b w:val="1"/>
                <w:bCs w:val="1"/>
                <w:color w:val="auto"/>
                <w:w w:val="99"/>
              </w:rPr>
              <w:t>Abstain</w:t>
            </w:r>
          </w:p>
        </w:tc>
        <w:tc>
          <w:tcPr>
            <w:tcW w:w="2280" w:type="dxa"/>
            <w:vAlign w:val="bottom"/>
          </w:tcPr>
          <w:p>
            <w:pPr>
              <w:jc w:val="right"/>
              <w:ind w:right="190"/>
              <w:spacing w:after="0"/>
              <w:rPr>
                <w:sz w:val="20"/>
                <w:szCs w:val="20"/>
                <w:color w:val="auto"/>
              </w:rPr>
            </w:pPr>
            <w:r>
              <w:rPr>
                <w:rFonts w:ascii="Arial" w:cs="Arial" w:eastAsia="Arial" w:hAnsi="Arial"/>
                <w:sz w:val="18"/>
                <w:szCs w:val="18"/>
                <w:b w:val="1"/>
                <w:bCs w:val="1"/>
                <w:color w:val="auto"/>
              </w:rPr>
              <w:t>Broker Non-Votes</w:t>
            </w:r>
          </w:p>
        </w:tc>
      </w:tr>
      <w:tr>
        <w:trPr>
          <w:trHeight w:val="229"/>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Mary E. Junck</w:t>
            </w:r>
          </w:p>
        </w:tc>
        <w:tc>
          <w:tcPr>
            <w:tcW w:w="23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9"/>
              </w:rPr>
              <w:t>2,595,334</w:t>
            </w:r>
          </w:p>
        </w:tc>
        <w:tc>
          <w:tcPr>
            <w:tcW w:w="2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987,711</w:t>
            </w:r>
          </w:p>
        </w:tc>
        <w:tc>
          <w:tcPr>
            <w:tcW w:w="18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7"/>
              </w:rPr>
              <w:t>3,078</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1,353,637</w:t>
            </w: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Herbert W. Moloney III</w:t>
            </w:r>
          </w:p>
        </w:tc>
        <w:tc>
          <w:tcPr>
            <w:tcW w:w="2360" w:type="dxa"/>
            <w:vAlign w:val="bottom"/>
          </w:tcPr>
          <w:p>
            <w:pPr>
              <w:jc w:val="center"/>
              <w:ind w:left="150"/>
              <w:spacing w:after="0"/>
              <w:rPr>
                <w:sz w:val="20"/>
                <w:szCs w:val="20"/>
                <w:color w:val="auto"/>
              </w:rPr>
            </w:pPr>
            <w:r>
              <w:rPr>
                <w:rFonts w:ascii="Arial" w:cs="Arial" w:eastAsia="Arial" w:hAnsi="Arial"/>
                <w:sz w:val="18"/>
                <w:szCs w:val="18"/>
                <w:color w:val="auto"/>
                <w:w w:val="99"/>
              </w:rPr>
              <w:t>2,626,441</w:t>
            </w:r>
          </w:p>
        </w:tc>
        <w:tc>
          <w:tcPr>
            <w:tcW w:w="2020" w:type="dxa"/>
            <w:vAlign w:val="bottom"/>
          </w:tcPr>
          <w:p>
            <w:pPr>
              <w:ind w:left="680"/>
              <w:spacing w:after="0"/>
              <w:rPr>
                <w:sz w:val="20"/>
                <w:szCs w:val="20"/>
                <w:color w:val="auto"/>
              </w:rPr>
            </w:pPr>
            <w:r>
              <w:rPr>
                <w:rFonts w:ascii="Arial" w:cs="Arial" w:eastAsia="Arial" w:hAnsi="Arial"/>
                <w:sz w:val="18"/>
                <w:szCs w:val="18"/>
                <w:color w:val="auto"/>
              </w:rPr>
              <w:t>955,566</w:t>
            </w:r>
          </w:p>
        </w:tc>
        <w:tc>
          <w:tcPr>
            <w:tcW w:w="1860" w:type="dxa"/>
            <w:vAlign w:val="bottom"/>
          </w:tcPr>
          <w:p>
            <w:pPr>
              <w:jc w:val="center"/>
              <w:ind w:left="130"/>
              <w:spacing w:after="0"/>
              <w:rPr>
                <w:sz w:val="20"/>
                <w:szCs w:val="20"/>
                <w:color w:val="auto"/>
              </w:rPr>
            </w:pPr>
            <w:r>
              <w:rPr>
                <w:rFonts w:ascii="Arial" w:cs="Arial" w:eastAsia="Arial" w:hAnsi="Arial"/>
                <w:sz w:val="18"/>
                <w:szCs w:val="18"/>
                <w:color w:val="auto"/>
                <w:w w:val="97"/>
              </w:rPr>
              <w:t>4,116</w:t>
            </w:r>
          </w:p>
        </w:tc>
        <w:tc>
          <w:tcPr>
            <w:tcW w:w="2280" w:type="dxa"/>
            <w:vAlign w:val="bottom"/>
          </w:tcPr>
          <w:p>
            <w:pPr>
              <w:jc w:val="right"/>
              <w:spacing w:after="0"/>
              <w:rPr>
                <w:sz w:val="20"/>
                <w:szCs w:val="20"/>
                <w:color w:val="auto"/>
              </w:rPr>
            </w:pPr>
            <w:r>
              <w:rPr>
                <w:rFonts w:ascii="Arial" w:cs="Arial" w:eastAsia="Arial" w:hAnsi="Arial"/>
                <w:sz w:val="18"/>
                <w:szCs w:val="18"/>
                <w:color w:val="auto"/>
              </w:rPr>
              <w:t>1,353,637</w:t>
            </w:r>
          </w:p>
        </w:tc>
      </w:tr>
      <w:tr>
        <w:trPr>
          <w:trHeight w:val="229"/>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Kevin D. Mowbray</w:t>
            </w:r>
          </w:p>
        </w:tc>
        <w:tc>
          <w:tcPr>
            <w:tcW w:w="23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9"/>
              </w:rPr>
              <w:t>2,654,436</w:t>
            </w:r>
          </w:p>
        </w:tc>
        <w:tc>
          <w:tcPr>
            <w:tcW w:w="2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928,131</w:t>
            </w:r>
          </w:p>
        </w:tc>
        <w:tc>
          <w:tcPr>
            <w:tcW w:w="18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7"/>
              </w:rPr>
              <w:t>3,556</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1,353,637</w:t>
            </w:r>
          </w:p>
        </w:tc>
      </w:tr>
    </w:tbl>
    <w:p>
      <w:pPr>
        <w:spacing w:after="0" w:line="30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shareholders approved, by non-binding vote, the compensation of the named executive officers (“Say-On-Pay”) as disclosed in the Company’s 2025 proxy statement (“Named Executive Officers”), and votes were cast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860" w:type="dxa"/>
            <w:vAlign w:val="bottom"/>
          </w:tcPr>
          <w:p>
            <w:pPr>
              <w:jc w:val="center"/>
              <w:spacing w:after="0"/>
              <w:rPr>
                <w:sz w:val="20"/>
                <w:szCs w:val="20"/>
                <w:color w:val="auto"/>
              </w:rPr>
            </w:pPr>
            <w:r>
              <w:rPr>
                <w:rFonts w:ascii="Arial" w:cs="Arial" w:eastAsia="Arial" w:hAnsi="Arial"/>
                <w:sz w:val="18"/>
                <w:szCs w:val="18"/>
                <w:b w:val="1"/>
                <w:bCs w:val="1"/>
                <w:color w:val="auto"/>
              </w:rPr>
              <w:t>For</w:t>
            </w:r>
          </w:p>
        </w:tc>
        <w:tc>
          <w:tcPr>
            <w:tcW w:w="2760" w:type="dxa"/>
            <w:vAlign w:val="bottom"/>
          </w:tcPr>
          <w:p>
            <w:pPr>
              <w:ind w:left="1040"/>
              <w:spacing w:after="0"/>
              <w:rPr>
                <w:sz w:val="20"/>
                <w:szCs w:val="20"/>
                <w:color w:val="auto"/>
              </w:rPr>
            </w:pPr>
            <w:r>
              <w:rPr>
                <w:rFonts w:ascii="Arial" w:cs="Arial" w:eastAsia="Arial" w:hAnsi="Arial"/>
                <w:sz w:val="18"/>
                <w:szCs w:val="18"/>
                <w:b w:val="1"/>
                <w:bCs w:val="1"/>
                <w:color w:val="auto"/>
              </w:rPr>
              <w:t>Against</w:t>
            </w:r>
          </w:p>
        </w:tc>
        <w:tc>
          <w:tcPr>
            <w:tcW w:w="2600" w:type="dxa"/>
            <w:vAlign w:val="bottom"/>
          </w:tcPr>
          <w:p>
            <w:pPr>
              <w:jc w:val="center"/>
              <w:ind w:left="130"/>
              <w:spacing w:after="0"/>
              <w:rPr>
                <w:sz w:val="20"/>
                <w:szCs w:val="20"/>
                <w:color w:val="auto"/>
              </w:rPr>
            </w:pPr>
            <w:r>
              <w:rPr>
                <w:rFonts w:ascii="Arial" w:cs="Arial" w:eastAsia="Arial" w:hAnsi="Arial"/>
                <w:sz w:val="18"/>
                <w:szCs w:val="18"/>
                <w:b w:val="1"/>
                <w:bCs w:val="1"/>
                <w:color w:val="auto"/>
                <w:w w:val="99"/>
              </w:rPr>
              <w:t>Abstain</w:t>
            </w:r>
          </w:p>
        </w:tc>
        <w:tc>
          <w:tcPr>
            <w:tcW w:w="3020" w:type="dxa"/>
            <w:vAlign w:val="bottom"/>
          </w:tcPr>
          <w:p>
            <w:pPr>
              <w:jc w:val="right"/>
              <w:ind w:right="550"/>
              <w:spacing w:after="0"/>
              <w:rPr>
                <w:sz w:val="20"/>
                <w:szCs w:val="20"/>
                <w:color w:val="auto"/>
              </w:rPr>
            </w:pPr>
            <w:r>
              <w:rPr>
                <w:rFonts w:ascii="Arial" w:cs="Arial" w:eastAsia="Arial" w:hAnsi="Arial"/>
                <w:sz w:val="18"/>
                <w:szCs w:val="18"/>
                <w:b w:val="1"/>
                <w:bCs w:val="1"/>
                <w:color w:val="auto"/>
              </w:rPr>
              <w:t>Broker Non-Votes</w:t>
            </w:r>
          </w:p>
        </w:tc>
      </w:tr>
      <w:tr>
        <w:trPr>
          <w:trHeight w:val="229"/>
        </w:trPr>
        <w:tc>
          <w:tcPr>
            <w:tcW w:w="28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2,628,357</w:t>
            </w:r>
          </w:p>
        </w:tc>
        <w:tc>
          <w:tcPr>
            <w:tcW w:w="27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949,247</w:t>
            </w:r>
          </w:p>
        </w:tc>
        <w:tc>
          <w:tcPr>
            <w:tcW w:w="260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8,519</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1,353,637</w:t>
            </w:r>
          </w:p>
        </w:tc>
      </w:tr>
    </w:tbl>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shareholders approved the First Amendment to the 2020 Long-Term Incentive Plan ("LTIP" or "2020 Long-Term Incentive Plan")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as disclosed in the Company's 2025 proxy statement. Votes were cast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820" w:type="dxa"/>
            <w:vAlign w:val="bottom"/>
          </w:tcPr>
          <w:p>
            <w:pPr>
              <w:jc w:val="center"/>
              <w:spacing w:after="0"/>
              <w:rPr>
                <w:sz w:val="20"/>
                <w:szCs w:val="20"/>
                <w:color w:val="auto"/>
              </w:rPr>
            </w:pPr>
            <w:r>
              <w:rPr>
                <w:rFonts w:ascii="Arial" w:cs="Arial" w:eastAsia="Arial" w:hAnsi="Arial"/>
                <w:sz w:val="18"/>
                <w:szCs w:val="18"/>
                <w:b w:val="1"/>
                <w:bCs w:val="1"/>
                <w:color w:val="auto"/>
              </w:rPr>
              <w:t>For</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9"/>
              </w:rPr>
              <w:t>Against</w:t>
            </w:r>
          </w:p>
        </w:tc>
        <w:tc>
          <w:tcPr>
            <w:tcW w:w="2560" w:type="dxa"/>
            <w:vAlign w:val="bottom"/>
          </w:tcPr>
          <w:p>
            <w:pPr>
              <w:jc w:val="center"/>
              <w:ind w:left="90"/>
              <w:spacing w:after="0"/>
              <w:rPr>
                <w:sz w:val="20"/>
                <w:szCs w:val="20"/>
                <w:color w:val="auto"/>
              </w:rPr>
            </w:pPr>
            <w:r>
              <w:rPr>
                <w:rFonts w:ascii="Arial" w:cs="Arial" w:eastAsia="Arial" w:hAnsi="Arial"/>
                <w:sz w:val="18"/>
                <w:szCs w:val="18"/>
                <w:b w:val="1"/>
                <w:bCs w:val="1"/>
                <w:color w:val="auto"/>
                <w:w w:val="99"/>
              </w:rPr>
              <w:t>Abstain</w:t>
            </w:r>
          </w:p>
        </w:tc>
        <w:tc>
          <w:tcPr>
            <w:tcW w:w="3020" w:type="dxa"/>
            <w:vAlign w:val="bottom"/>
          </w:tcPr>
          <w:p>
            <w:pPr>
              <w:jc w:val="right"/>
              <w:ind w:right="550"/>
              <w:spacing w:after="0"/>
              <w:rPr>
                <w:sz w:val="20"/>
                <w:szCs w:val="20"/>
                <w:color w:val="auto"/>
              </w:rPr>
            </w:pPr>
            <w:r>
              <w:rPr>
                <w:rFonts w:ascii="Arial" w:cs="Arial" w:eastAsia="Arial" w:hAnsi="Arial"/>
                <w:sz w:val="18"/>
                <w:szCs w:val="18"/>
                <w:b w:val="1"/>
                <w:bCs w:val="1"/>
                <w:color w:val="auto"/>
              </w:rPr>
              <w:t>Broker Non-Votes</w:t>
            </w:r>
          </w:p>
        </w:tc>
      </w:tr>
      <w:tr>
        <w:trPr>
          <w:trHeight w:val="229"/>
        </w:trPr>
        <w:tc>
          <w:tcPr>
            <w:tcW w:w="28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1,916,811</w:t>
            </w:r>
          </w:p>
        </w:tc>
        <w:tc>
          <w:tcPr>
            <w:tcW w:w="28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1,660,861</w:t>
            </w:r>
          </w:p>
        </w:tc>
        <w:tc>
          <w:tcPr>
            <w:tcW w:w="25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8,451</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1,353,637</w:t>
            </w:r>
          </w:p>
        </w:tc>
      </w:tr>
    </w:tbl>
    <w:p>
      <w:pPr>
        <w:spacing w:after="0" w:line="30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shareholders voted to ratify the appointment of BDO USA, P.C. to serve as the Company's independent registered public accounting firm for the fiscal year ending September 28,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220" w:type="dxa"/>
            <w:vAlign w:val="bottom"/>
          </w:tcPr>
          <w:p>
            <w:pPr>
              <w:spacing w:after="0"/>
              <w:rPr>
                <w:sz w:val="20"/>
                <w:szCs w:val="20"/>
                <w:color w:val="auto"/>
              </w:rPr>
            </w:pPr>
          </w:p>
        </w:tc>
        <w:tc>
          <w:tcPr>
            <w:tcW w:w="1820" w:type="dxa"/>
            <w:vAlign w:val="bottom"/>
          </w:tcPr>
          <w:p>
            <w:pPr>
              <w:jc w:val="center"/>
              <w:ind w:right="150"/>
              <w:spacing w:after="0"/>
              <w:rPr>
                <w:sz w:val="20"/>
                <w:szCs w:val="20"/>
                <w:color w:val="auto"/>
              </w:rPr>
            </w:pPr>
            <w:r>
              <w:rPr>
                <w:rFonts w:ascii="Arial" w:cs="Arial" w:eastAsia="Arial" w:hAnsi="Arial"/>
                <w:sz w:val="18"/>
                <w:szCs w:val="18"/>
                <w:b w:val="1"/>
                <w:bCs w:val="1"/>
                <w:color w:val="auto"/>
              </w:rPr>
              <w:t>For</w:t>
            </w: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9"/>
              </w:rPr>
              <w:t>Against</w:t>
            </w:r>
          </w:p>
        </w:tc>
        <w:tc>
          <w:tcPr>
            <w:tcW w:w="182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Abstain</w:t>
            </w:r>
          </w:p>
        </w:tc>
        <w:tc>
          <w:tcPr>
            <w:tcW w:w="2280" w:type="dxa"/>
            <w:vAlign w:val="bottom"/>
          </w:tcPr>
          <w:p>
            <w:pPr>
              <w:ind w:left="480"/>
              <w:spacing w:after="0"/>
              <w:rPr>
                <w:sz w:val="20"/>
                <w:szCs w:val="20"/>
                <w:color w:val="auto"/>
              </w:rPr>
            </w:pPr>
            <w:r>
              <w:rPr>
                <w:rFonts w:ascii="Arial" w:cs="Arial" w:eastAsia="Arial" w:hAnsi="Arial"/>
                <w:sz w:val="18"/>
                <w:szCs w:val="18"/>
                <w:b w:val="1"/>
                <w:bCs w:val="1"/>
                <w:color w:val="auto"/>
              </w:rPr>
              <w:t>Broker Non-Votes</w:t>
            </w:r>
          </w:p>
        </w:tc>
      </w:tr>
      <w:tr>
        <w:trPr>
          <w:trHeight w:val="230"/>
        </w:trPr>
        <w:tc>
          <w:tcPr>
            <w:tcW w:w="3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Ratify selection of BDO USA, P.C.</w:t>
            </w:r>
          </w:p>
        </w:tc>
        <w:tc>
          <w:tcPr>
            <w:tcW w:w="18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3,854,928</w:t>
            </w:r>
          </w:p>
        </w:tc>
        <w:tc>
          <w:tcPr>
            <w:tcW w:w="21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1,059,646</w:t>
            </w:r>
          </w:p>
        </w:tc>
        <w:tc>
          <w:tcPr>
            <w:tcW w:w="18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25,186</w:t>
            </w:r>
          </w:p>
        </w:tc>
        <w:tc>
          <w:tcPr>
            <w:tcW w:w="228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w:t>
            </w:r>
          </w:p>
        </w:tc>
      </w:tr>
      <w:tr>
        <w:trPr>
          <w:trHeight w:val="1249"/>
        </w:trPr>
        <w:tc>
          <w:tcPr>
            <w:tcW w:w="32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85"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LEE ENTERPRISES, INCORPORATED</w:t>
      </w: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680" w:val="left"/>
          <w:tab w:leader="none" w:pos="4340" w:val="left"/>
        </w:tabs>
        <w:rPr>
          <w:sz w:val="20"/>
          <w:szCs w:val="20"/>
          <w:color w:val="auto"/>
        </w:rPr>
      </w:pPr>
      <w:r>
        <w:rPr>
          <w:rFonts w:ascii="Arial" w:cs="Arial" w:eastAsia="Arial" w:hAnsi="Arial"/>
          <w:sz w:val="18"/>
          <w:szCs w:val="18"/>
          <w:color w:val="auto"/>
        </w:rPr>
        <w:t>Date:</w:t>
        <w:tab/>
        <w:t>February 27, 2025</w:t>
      </w:r>
      <w:r>
        <w:rPr>
          <w:sz w:val="20"/>
          <w:szCs w:val="20"/>
          <w:color w:val="auto"/>
        </w:rPr>
        <w:tab/>
      </w:r>
      <w:r>
        <w:rPr>
          <w:rFonts w:ascii="Arial" w:cs="Arial" w:eastAsia="Arial" w:hAnsi="Arial"/>
          <w:sz w:val="18"/>
          <w:szCs w:val="18"/>
          <w:color w:val="auto"/>
        </w:rPr>
        <w:t>By: /s/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26035</wp:posOffset>
            </wp:positionV>
            <wp:extent cx="4003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4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Timothy R. Millage</w:t>
      </w:r>
    </w:p>
    <w:p>
      <w:pPr>
        <w:spacing w:after="0" w:line="5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Vice President, Chief Financial Officer and Treasurer</w:t>
      </w:r>
    </w:p>
    <w:sectPr>
      <w:pgSz w:w="11900" w:h="16838" w:orient="portrait"/>
      <w:cols w:equalWidth="0" w:num="1">
        <w:col w:w="11060"/>
      </w:cols>
      <w:pgMar w:left="320" w:top="9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2025-02-27T12:46:31Z</dcterms:created>
  <dcterms:modified xsi:type="dcterms:W3CDTF">2025-02-27T12:46:31Z</dcterms:modified>
</cp:coreProperties>
</file>