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1"/>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10-Q</w:t>
      </w:r>
    </w:p>
    <w:p>
      <w:pPr>
        <w:spacing w:after="0" w:line="176" w:lineRule="exact"/>
        <w:rPr>
          <w:sz w:val="24"/>
          <w:szCs w:val="24"/>
          <w:color w:val="auto"/>
        </w:rPr>
      </w:pPr>
    </w:p>
    <w:p>
      <w:pPr>
        <w:ind w:left="628" w:right="5219" w:hanging="628"/>
        <w:spacing w:after="0"/>
        <w:tabs>
          <w:tab w:leader="none" w:pos="18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Quarterly Report Under Section 13 or 15(d) of the Securities Exchange Act of 1934</w:t>
      </w:r>
    </w:p>
    <w:p>
      <w:pPr>
        <w:spacing w:after="0" w:line="2"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Quarter Ended March 31, 1999</w:t>
      </w:r>
    </w:p>
    <w:p>
      <w:pPr>
        <w:spacing w:after="0" w:line="2"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OR</w:t>
      </w:r>
    </w:p>
    <w:p>
      <w:pPr>
        <w:spacing w:after="0" w:line="4" w:lineRule="exact"/>
        <w:rPr>
          <w:sz w:val="24"/>
          <w:szCs w:val="24"/>
          <w:color w:val="auto"/>
        </w:rPr>
      </w:pPr>
    </w:p>
    <w:p>
      <w:pPr>
        <w:ind w:left="628" w:right="4599" w:hanging="628"/>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4"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Commission File Number 1-6227</w:t>
      </w:r>
    </w:p>
    <w:p>
      <w:pPr>
        <w:spacing w:after="0" w:line="174"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Lee Enterprises, Incorporated</w:t>
      </w:r>
    </w:p>
    <w:p>
      <w:pPr>
        <w:spacing w:after="0" w:line="174"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A Delaware Corporation</w:t>
            </w: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I.D. #42-0823980</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215 N. Main Street, Davenport, Iowa</w:t>
            </w:r>
          </w:p>
        </w:tc>
        <w:tc>
          <w:tcPr>
            <w:tcW w:w="392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52801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Phone:  (319) 383-2100</w:t>
            </w:r>
          </w:p>
        </w:tc>
        <w:tc>
          <w:tcPr>
            <w:tcW w:w="3920" w:type="dxa"/>
            <w:vAlign w:val="bottom"/>
          </w:tcPr>
          <w:p>
            <w:pPr>
              <w:spacing w:after="0"/>
              <w:rPr>
                <w:sz w:val="14"/>
                <w:szCs w:val="14"/>
                <w:color w:val="auto"/>
              </w:rPr>
            </w:pPr>
          </w:p>
        </w:tc>
      </w:tr>
    </w:tbl>
    <w:p>
      <w:pPr>
        <w:spacing w:after="0" w:line="176" w:lineRule="exact"/>
        <w:rPr>
          <w:sz w:val="24"/>
          <w:szCs w:val="24"/>
          <w:color w:val="auto"/>
        </w:rPr>
      </w:pPr>
    </w:p>
    <w:p>
      <w:pPr>
        <w:jc w:val="both"/>
        <w:ind w:left="8" w:right="3079"/>
        <w:spacing w:after="0" w:line="242" w:lineRule="auto"/>
        <w:rPr>
          <w:sz w:val="20"/>
          <w:szCs w:val="20"/>
          <w:color w:val="auto"/>
        </w:rPr>
      </w:pPr>
      <w:r>
        <w:rPr>
          <w:rFonts w:ascii="Courier New" w:cs="Courier New" w:eastAsia="Courier New" w:hAnsi="Courier New"/>
          <w:sz w:val="15"/>
          <w:szCs w:val="15"/>
          <w:color w:val="auto"/>
        </w:rPr>
        <w:t>Indicate by a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75" w:lineRule="exact"/>
        <w:rPr>
          <w:sz w:val="24"/>
          <w:szCs w:val="24"/>
          <w:color w:val="auto"/>
        </w:rPr>
      </w:pPr>
    </w:p>
    <w:p>
      <w:pPr>
        <w:jc w:val="both"/>
        <w:ind w:left="8" w:right="3079"/>
        <w:spacing w:after="0"/>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practical date.</w:t>
      </w:r>
    </w:p>
    <w:p>
      <w:pPr>
        <w:sectPr>
          <w:pgSz w:w="11900" w:h="16838" w:orient="portrait"/>
          <w:cols w:equalWidth="0" w:num="1">
            <w:col w:w="10227"/>
          </w:cols>
          <w:pgMar w:left="232" w:top="403" w:right="1440" w:bottom="0" w:gutter="0" w:footer="0" w:header="0"/>
        </w:sectPr>
      </w:pPr>
    </w:p>
    <w:p>
      <w:pPr>
        <w:spacing w:after="0" w:line="174"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Class</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Common stock, $2.00 par value</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Class "B" Common Stock, $2.00 par value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March 31, 1999</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32,827,441</w:t>
      </w:r>
    </w:p>
    <w:p>
      <w:pPr>
        <w:spacing w:after="0" w:line="2"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11,490,555</w:t>
      </w:r>
    </w:p>
    <w:p>
      <w:pPr>
        <w:spacing w:after="0" w:line="200" w:lineRule="exact"/>
        <w:rPr>
          <w:sz w:val="24"/>
          <w:szCs w:val="24"/>
          <w:color w:val="auto"/>
        </w:rPr>
      </w:pPr>
    </w:p>
    <w:p>
      <w:pPr>
        <w:sectPr>
          <w:pgSz w:w="11900" w:h="16838" w:orient="portrait"/>
          <w:cols w:equalWidth="0" w:num="2">
            <w:col w:w="3848" w:space="720"/>
            <w:col w:w="5659"/>
          </w:cols>
          <w:pgMar w:left="232" w:top="403"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PART I. FINANCIAL INFORMATION</w:t>
      </w:r>
    </w:p>
    <w:p>
      <w:pPr>
        <w:spacing w:after="0" w:line="2" w:lineRule="exact"/>
        <w:rPr>
          <w:sz w:val="24"/>
          <w:szCs w:val="24"/>
          <w:color w:val="auto"/>
        </w:rPr>
      </w:pPr>
    </w:p>
    <w:p>
      <w:pPr>
        <w:ind w:left="188"/>
        <w:spacing w:after="0"/>
        <w:rPr>
          <w:sz w:val="20"/>
          <w:szCs w:val="20"/>
          <w:color w:val="auto"/>
        </w:rPr>
      </w:pPr>
      <w:r>
        <w:rPr>
          <w:rFonts w:ascii="Courier New" w:cs="Courier New" w:eastAsia="Courier New" w:hAnsi="Courier New"/>
          <w:sz w:val="15"/>
          <w:szCs w:val="15"/>
          <w:color w:val="auto"/>
        </w:rPr>
        <w:t>Item. 1.</w:t>
      </w:r>
    </w:p>
    <w:p>
      <w:pPr>
        <w:spacing w:after="0" w:line="2"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LEE ENTERPRISES, INCORPORATED</w:t>
      </w:r>
    </w:p>
    <w:p>
      <w:pPr>
        <w:spacing w:after="0" w:line="174"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 w:lineRule="exact"/>
        <w:rPr>
          <w:sz w:val="24"/>
          <w:szCs w:val="24"/>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4"/>
          <w:szCs w:val="24"/>
          <w:color w:val="auto"/>
        </w:rPr>
      </w:pPr>
    </w:p>
    <w:p>
      <w:pPr>
        <w:spacing w:after="0" w:line="318"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21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Three Months Ended</w:t>
            </w:r>
          </w:p>
        </w:tc>
        <w:tc>
          <w:tcPr>
            <w:tcW w:w="20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4320" w:type="dxa"/>
            <w:vAlign w:val="bottom"/>
          </w:tcPr>
          <w:p>
            <w:pPr>
              <w:spacing w:after="0"/>
              <w:rPr>
                <w:sz w:val="14"/>
                <w:szCs w:val="14"/>
                <w:color w:val="auto"/>
              </w:rPr>
            </w:pPr>
          </w:p>
        </w:tc>
        <w:tc>
          <w:tcPr>
            <w:tcW w:w="21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March 31,</w:t>
            </w:r>
          </w:p>
        </w:tc>
        <w:tc>
          <w:tcPr>
            <w:tcW w:w="20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4320" w:type="dxa"/>
            <w:vAlign w:val="bottom"/>
          </w:tcPr>
          <w:p>
            <w:pPr>
              <w:spacing w:after="0"/>
              <w:rPr>
                <w:sz w:val="14"/>
                <w:szCs w:val="14"/>
                <w:color w:val="auto"/>
              </w:rPr>
            </w:pPr>
          </w:p>
        </w:tc>
        <w:tc>
          <w:tcPr>
            <w:tcW w:w="2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spacing w:after="0"/>
              <w:rPr>
                <w:sz w:val="14"/>
                <w:szCs w:val="14"/>
                <w:color w:val="auto"/>
              </w:rPr>
            </w:pP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320" w:type="dxa"/>
            <w:vAlign w:val="bottom"/>
          </w:tcPr>
          <w:p>
            <w:pPr>
              <w:spacing w:after="0"/>
              <w:rPr>
                <w:sz w:val="14"/>
                <w:szCs w:val="14"/>
                <w:color w:val="auto"/>
              </w:rPr>
            </w:pPr>
          </w:p>
        </w:tc>
        <w:tc>
          <w:tcPr>
            <w:tcW w:w="41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(Unaudited)</w:t>
            </w:r>
          </w:p>
        </w:tc>
        <w:tc>
          <w:tcPr>
            <w:tcW w:w="920" w:type="dxa"/>
            <w:vAlign w:val="bottom"/>
          </w:tcPr>
          <w:p>
            <w:pPr>
              <w:spacing w:after="0"/>
              <w:rPr>
                <w:sz w:val="14"/>
                <w:szCs w:val="14"/>
                <w:color w:val="auto"/>
              </w:rPr>
            </w:pPr>
          </w:p>
        </w:tc>
      </w:tr>
      <w:tr>
        <w:trPr>
          <w:trHeight w:val="516"/>
        </w:trPr>
        <w:tc>
          <w:tcPr>
            <w:tcW w:w="43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2"/>
        </w:trPr>
        <w:tc>
          <w:tcPr>
            <w:tcW w:w="4320" w:type="dxa"/>
            <w:vAlign w:val="bottom"/>
          </w:tcPr>
          <w:p>
            <w:pPr>
              <w:jc w:val="right"/>
              <w:ind w:right="3005"/>
              <w:spacing w:after="0"/>
              <w:rPr>
                <w:sz w:val="20"/>
                <w:szCs w:val="20"/>
                <w:color w:val="auto"/>
              </w:rPr>
            </w:pPr>
            <w:r>
              <w:rPr>
                <w:rFonts w:ascii="Courier New" w:cs="Courier New" w:eastAsia="Courier New" w:hAnsi="Courier New"/>
                <w:sz w:val="15"/>
                <w:szCs w:val="15"/>
                <w:color w:val="auto"/>
              </w:rPr>
              <w:t>Publishing:</w:t>
            </w: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4320" w:type="dxa"/>
            <w:vAlign w:val="bottom"/>
          </w:tcPr>
          <w:p>
            <w:pPr>
              <w:jc w:val="right"/>
              <w:ind w:right="2285"/>
              <w:spacing w:after="0"/>
              <w:rPr>
                <w:sz w:val="20"/>
                <w:szCs w:val="20"/>
                <w:color w:val="auto"/>
              </w:rPr>
            </w:pPr>
            <w:r>
              <w:rPr>
                <w:rFonts w:ascii="Courier New" w:cs="Courier New" w:eastAsia="Courier New" w:hAnsi="Courier New"/>
                <w:sz w:val="15"/>
                <w:szCs w:val="15"/>
                <w:color w:val="auto"/>
              </w:rPr>
              <w:t>Daily newspaper:</w:t>
            </w: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Advertising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$ 45,829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$ 43,224</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$ 100,719</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$ 95,229</w:t>
            </w: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Circulation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20,159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20,227</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40,848</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41,018</w:t>
            </w: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Other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28,800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25,337</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57,516</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50,396</w:t>
            </w: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Broadcasting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27,072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30,947</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62,662</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62,202</w:t>
            </w: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Equity in net income of associated companies</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1,736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1,610</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3,978</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3,759</w:t>
            </w:r>
          </w:p>
        </w:tc>
      </w:tr>
      <w:tr>
        <w:trPr>
          <w:trHeight w:val="172"/>
        </w:trPr>
        <w:tc>
          <w:tcPr>
            <w:tcW w:w="4320" w:type="dxa"/>
            <w:vAlign w:val="bottom"/>
          </w:tcPr>
          <w:p>
            <w:pPr>
              <w:spacing w:after="0"/>
              <w:rPr>
                <w:sz w:val="14"/>
                <w:szCs w:val="14"/>
                <w:color w:val="auto"/>
              </w:rPr>
            </w:pPr>
          </w:p>
        </w:tc>
        <w:tc>
          <w:tcPr>
            <w:tcW w:w="41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123,596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121,345</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265,723</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252,604</w:t>
            </w:r>
          </w:p>
        </w:tc>
      </w:tr>
      <w:tr>
        <w:trPr>
          <w:trHeight w:val="172"/>
        </w:trPr>
        <w:tc>
          <w:tcPr>
            <w:tcW w:w="4320" w:type="dxa"/>
            <w:vAlign w:val="bottom"/>
          </w:tcPr>
          <w:p>
            <w:pPr>
              <w:spacing w:after="0"/>
              <w:rPr>
                <w:sz w:val="14"/>
                <w:szCs w:val="14"/>
                <w:color w:val="auto"/>
              </w:rPr>
            </w:pPr>
          </w:p>
        </w:tc>
        <w:tc>
          <w:tcPr>
            <w:tcW w:w="41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Compensation costs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48,697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47,174</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100,000</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94,842</w:t>
            </w: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Newsprint and ink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9,107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9,574</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19,935</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20,136</w:t>
            </w: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Depreciation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5,185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4,700</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10,270</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9,320</w:t>
            </w: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Amortization of intangibles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4,477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4,473</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8,880</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8,929</w:t>
            </w: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Other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33,977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31,676</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69,685</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65,531</w:t>
            </w:r>
          </w:p>
        </w:tc>
      </w:tr>
      <w:tr>
        <w:trPr>
          <w:trHeight w:val="172"/>
        </w:trPr>
        <w:tc>
          <w:tcPr>
            <w:tcW w:w="4320" w:type="dxa"/>
            <w:vAlign w:val="bottom"/>
          </w:tcPr>
          <w:p>
            <w:pPr>
              <w:spacing w:after="0"/>
              <w:rPr>
                <w:sz w:val="14"/>
                <w:szCs w:val="14"/>
                <w:color w:val="auto"/>
              </w:rPr>
            </w:pPr>
          </w:p>
        </w:tc>
        <w:tc>
          <w:tcPr>
            <w:tcW w:w="41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101,443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97,597</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208,770</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198,758</w:t>
            </w:r>
          </w:p>
        </w:tc>
      </w:tr>
      <w:tr>
        <w:trPr>
          <w:trHeight w:val="172"/>
        </w:trPr>
        <w:tc>
          <w:tcPr>
            <w:tcW w:w="4320" w:type="dxa"/>
            <w:vAlign w:val="bottom"/>
          </w:tcPr>
          <w:p>
            <w:pPr>
              <w:spacing w:after="0"/>
              <w:rPr>
                <w:sz w:val="14"/>
                <w:szCs w:val="14"/>
                <w:color w:val="auto"/>
              </w:rPr>
            </w:pPr>
          </w:p>
        </w:tc>
        <w:tc>
          <w:tcPr>
            <w:tcW w:w="41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Operating income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22,153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23,748</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56,953</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53,846</w:t>
            </w:r>
          </w:p>
        </w:tc>
      </w:tr>
      <w:tr>
        <w:trPr>
          <w:trHeight w:val="172"/>
        </w:trPr>
        <w:tc>
          <w:tcPr>
            <w:tcW w:w="4320" w:type="dxa"/>
            <w:vAlign w:val="bottom"/>
          </w:tcPr>
          <w:p>
            <w:pPr>
              <w:spacing w:after="0"/>
              <w:rPr>
                <w:sz w:val="14"/>
                <w:szCs w:val="14"/>
                <w:color w:val="auto"/>
              </w:rPr>
            </w:pPr>
          </w:p>
        </w:tc>
        <w:tc>
          <w:tcPr>
            <w:tcW w:w="41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Financial (income) expenses, net</w:t>
            </w: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Financial (income) .........................</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(1,188)</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(1,718)</w:t>
            </w: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Financial expense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2,986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4,344</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7,252</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8,050</w:t>
            </w:r>
          </w:p>
        </w:tc>
      </w:tr>
      <w:tr>
        <w:trPr>
          <w:trHeight w:val="172"/>
        </w:trPr>
        <w:tc>
          <w:tcPr>
            <w:tcW w:w="4320" w:type="dxa"/>
            <w:vAlign w:val="bottom"/>
          </w:tcPr>
          <w:p>
            <w:pPr>
              <w:spacing w:after="0"/>
              <w:rPr>
                <w:sz w:val="14"/>
                <w:szCs w:val="14"/>
                <w:color w:val="auto"/>
              </w:rPr>
            </w:pPr>
          </w:p>
        </w:tc>
        <w:tc>
          <w:tcPr>
            <w:tcW w:w="41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2,751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3,156</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5,801</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6,332</w:t>
            </w:r>
          </w:p>
        </w:tc>
      </w:tr>
      <w:tr>
        <w:trPr>
          <w:trHeight w:val="172"/>
        </w:trPr>
        <w:tc>
          <w:tcPr>
            <w:tcW w:w="4320" w:type="dxa"/>
            <w:vAlign w:val="bottom"/>
          </w:tcPr>
          <w:p>
            <w:pPr>
              <w:spacing w:after="0"/>
              <w:rPr>
                <w:sz w:val="14"/>
                <w:szCs w:val="14"/>
                <w:color w:val="auto"/>
              </w:rPr>
            </w:pPr>
          </w:p>
        </w:tc>
        <w:tc>
          <w:tcPr>
            <w:tcW w:w="41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Income  before taxes on income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19,402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20,592</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51,152</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47,514</w:t>
            </w: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Income taxes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7,434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7,981</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19,545</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18,319</w:t>
            </w:r>
          </w:p>
        </w:tc>
      </w:tr>
      <w:tr>
        <w:trPr>
          <w:trHeight w:val="172"/>
        </w:trPr>
        <w:tc>
          <w:tcPr>
            <w:tcW w:w="4320" w:type="dxa"/>
            <w:vAlign w:val="bottom"/>
          </w:tcPr>
          <w:p>
            <w:pPr>
              <w:spacing w:after="0"/>
              <w:rPr>
                <w:sz w:val="14"/>
                <w:szCs w:val="14"/>
                <w:color w:val="auto"/>
              </w:rPr>
            </w:pPr>
          </w:p>
        </w:tc>
        <w:tc>
          <w:tcPr>
            <w:tcW w:w="41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income ..........................</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$11,968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$12,611</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$31,607</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$29,195</w:t>
            </w:r>
          </w:p>
        </w:tc>
      </w:tr>
      <w:tr>
        <w:trPr>
          <w:trHeight w:val="172"/>
        </w:trPr>
        <w:tc>
          <w:tcPr>
            <w:tcW w:w="4320" w:type="dxa"/>
            <w:vAlign w:val="bottom"/>
          </w:tcPr>
          <w:p>
            <w:pPr>
              <w:spacing w:after="0"/>
              <w:rPr>
                <w:sz w:val="14"/>
                <w:szCs w:val="14"/>
                <w:color w:val="auto"/>
              </w:rPr>
            </w:pPr>
          </w:p>
        </w:tc>
        <w:tc>
          <w:tcPr>
            <w:tcW w:w="41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7"/>
          </w:cols>
          <w:pgMar w:left="232" w:top="403"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Average outstanding shares:</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Basic ......................................</w:t>
            </w:r>
          </w:p>
        </w:tc>
        <w:tc>
          <w:tcPr>
            <w:tcW w:w="28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44,246</w:t>
            </w:r>
          </w:p>
        </w:tc>
        <w:tc>
          <w:tcPr>
            <w:tcW w:w="3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44,990</w:t>
            </w:r>
          </w:p>
        </w:tc>
        <w:tc>
          <w:tcPr>
            <w:tcW w:w="3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44,257</w:t>
            </w: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45,153</w:t>
            </w:r>
          </w:p>
        </w:tc>
      </w:tr>
      <w:tr>
        <w:trPr>
          <w:trHeight w:val="172"/>
        </w:trPr>
        <w:tc>
          <w:tcPr>
            <w:tcW w:w="4320" w:type="dxa"/>
            <w:vAlign w:val="bottom"/>
          </w:tcPr>
          <w:p>
            <w:pPr>
              <w:spacing w:after="0"/>
              <w:rPr>
                <w:sz w:val="14"/>
                <w:szCs w:val="14"/>
                <w:color w:val="auto"/>
              </w:rPr>
            </w:pPr>
          </w:p>
        </w:tc>
        <w:tc>
          <w:tcPr>
            <w:tcW w:w="40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Diluted ....................................</w:t>
            </w:r>
          </w:p>
        </w:tc>
        <w:tc>
          <w:tcPr>
            <w:tcW w:w="28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44,859</w:t>
            </w:r>
          </w:p>
        </w:tc>
        <w:tc>
          <w:tcPr>
            <w:tcW w:w="3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45,783</w:t>
            </w:r>
          </w:p>
        </w:tc>
        <w:tc>
          <w:tcPr>
            <w:tcW w:w="30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44,851</w:t>
            </w: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45,904</w:t>
            </w:r>
          </w:p>
        </w:tc>
      </w:tr>
      <w:tr>
        <w:trPr>
          <w:trHeight w:val="172"/>
        </w:trPr>
        <w:tc>
          <w:tcPr>
            <w:tcW w:w="4320" w:type="dxa"/>
            <w:vAlign w:val="bottom"/>
          </w:tcPr>
          <w:p>
            <w:pPr>
              <w:spacing w:after="0"/>
              <w:rPr>
                <w:sz w:val="14"/>
                <w:szCs w:val="14"/>
                <w:color w:val="auto"/>
              </w:rPr>
            </w:pPr>
          </w:p>
        </w:tc>
        <w:tc>
          <w:tcPr>
            <w:tcW w:w="40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Basic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0.65</w:t>
            </w:r>
          </w:p>
        </w:tc>
      </w:tr>
      <w:tr>
        <w:trPr>
          <w:trHeight w:val="172"/>
        </w:trPr>
        <w:tc>
          <w:tcPr>
            <w:tcW w:w="4320" w:type="dxa"/>
            <w:vAlign w:val="bottom"/>
          </w:tcPr>
          <w:p>
            <w:pPr>
              <w:spacing w:after="0"/>
              <w:rPr>
                <w:sz w:val="14"/>
                <w:szCs w:val="14"/>
                <w:color w:val="auto"/>
              </w:rPr>
            </w:pPr>
          </w:p>
        </w:tc>
        <w:tc>
          <w:tcPr>
            <w:tcW w:w="40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Diluted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0.64</w:t>
            </w:r>
          </w:p>
        </w:tc>
      </w:tr>
      <w:tr>
        <w:trPr>
          <w:trHeight w:val="172"/>
        </w:trPr>
        <w:tc>
          <w:tcPr>
            <w:tcW w:w="4320" w:type="dxa"/>
            <w:vAlign w:val="bottom"/>
          </w:tcPr>
          <w:p>
            <w:pPr>
              <w:spacing w:after="0"/>
              <w:rPr>
                <w:sz w:val="14"/>
                <w:szCs w:val="14"/>
                <w:color w:val="auto"/>
              </w:rPr>
            </w:pPr>
          </w:p>
        </w:tc>
        <w:tc>
          <w:tcPr>
            <w:tcW w:w="40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3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Dividends per share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0.28</w:t>
            </w:r>
          </w:p>
        </w:tc>
      </w:tr>
      <w:tr>
        <w:trPr>
          <w:trHeight w:val="172"/>
        </w:trPr>
        <w:tc>
          <w:tcPr>
            <w:tcW w:w="4320" w:type="dxa"/>
            <w:vAlign w:val="bottom"/>
          </w:tcPr>
          <w:p>
            <w:pPr>
              <w:spacing w:after="0"/>
              <w:rPr>
                <w:sz w:val="14"/>
                <w:szCs w:val="14"/>
                <w:color w:val="auto"/>
              </w:rPr>
            </w:pPr>
          </w:p>
        </w:tc>
        <w:tc>
          <w:tcPr>
            <w:tcW w:w="40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140" w:right="1440" w:bottom="1440" w:gutter="0" w:footer="0" w:header="0"/>
        </w:sectPr>
      </w:pPr>
    </w:p>
    <w:bookmarkStart w:id="2" w:name="page3"/>
    <w:bookmarkEnd w:id="2"/>
    <w:p>
      <w:pPr>
        <w:ind w:left="8"/>
        <w:spacing w:after="0"/>
        <w:rPr>
          <w:sz w:val="20"/>
          <w:szCs w:val="20"/>
          <w:color w:val="auto"/>
        </w:rPr>
      </w:pPr>
      <w:r>
        <w:rPr>
          <w:rFonts w:ascii="Courier New" w:cs="Courier New" w:eastAsia="Courier New" w:hAnsi="Courier New"/>
          <w:sz w:val="15"/>
          <w:szCs w:val="15"/>
          <w:color w:val="auto"/>
        </w:rPr>
        <w:t>LEE ENTERPRISES, INCORPORATED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Thousands)</w:t>
      </w:r>
    </w:p>
    <w:p>
      <w:pPr>
        <w:spacing w:after="0" w:line="346" w:lineRule="exact"/>
        <w:rPr>
          <w:sz w:val="20"/>
          <w:szCs w:val="20"/>
          <w:color w:val="auto"/>
        </w:rPr>
      </w:pPr>
    </w:p>
    <w:p>
      <w:pPr>
        <w:ind w:left="7868"/>
        <w:spacing w:after="0"/>
        <w:tabs>
          <w:tab w:leader="none" w:pos="8828" w:val="left"/>
        </w:tabs>
        <w:rPr>
          <w:sz w:val="20"/>
          <w:szCs w:val="20"/>
          <w:color w:val="auto"/>
        </w:rPr>
      </w:pPr>
      <w:r>
        <w:rPr>
          <w:rFonts w:ascii="Courier New" w:cs="Courier New" w:eastAsia="Courier New" w:hAnsi="Courier New"/>
          <w:sz w:val="15"/>
          <w:szCs w:val="15"/>
          <w:color w:val="auto"/>
        </w:rPr>
        <w:t>March 31,</w:t>
      </w:r>
      <w:r>
        <w:rPr>
          <w:sz w:val="20"/>
          <w:szCs w:val="20"/>
          <w:color w:val="auto"/>
        </w:rPr>
        <w:tab/>
      </w:r>
      <w:r>
        <w:rPr>
          <w:rFonts w:ascii="Courier New" w:cs="Courier New" w:eastAsia="Courier New" w:hAnsi="Courier New"/>
          <w:sz w:val="14"/>
          <w:szCs w:val="14"/>
          <w:color w:val="auto"/>
        </w:rPr>
        <w:t>September 30,</w:t>
      </w:r>
    </w:p>
    <w:p>
      <w:pPr>
        <w:spacing w:after="0" w:line="2" w:lineRule="exact"/>
        <w:rPr>
          <w:sz w:val="20"/>
          <w:szCs w:val="20"/>
          <w:color w:val="auto"/>
        </w:rPr>
      </w:pPr>
    </w:p>
    <w:p>
      <w:pPr>
        <w:ind w:left="8"/>
        <w:spacing w:after="0"/>
        <w:tabs>
          <w:tab w:leader="none" w:pos="8028" w:val="left"/>
          <w:tab w:leader="none" w:pos="9108" w:val="left"/>
        </w:tabs>
        <w:rPr>
          <w:sz w:val="20"/>
          <w:szCs w:val="20"/>
          <w:color w:val="auto"/>
        </w:rPr>
      </w:pP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3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7720" w:type="dxa"/>
            <w:vAlign w:val="bottom"/>
          </w:tcPr>
          <w:p>
            <w:pPr>
              <w:jc w:val="right"/>
              <w:spacing w:after="0"/>
              <w:rPr>
                <w:sz w:val="20"/>
                <w:szCs w:val="20"/>
                <w:color w:val="auto"/>
              </w:rPr>
            </w:pPr>
            <w:r>
              <w:rPr>
                <w:rFonts w:ascii="Courier New" w:cs="Courier New" w:eastAsia="Courier New" w:hAnsi="Courier New"/>
                <w:sz w:val="15"/>
                <w:szCs w:val="15"/>
                <w:color w:val="auto"/>
                <w:w w:val="98"/>
              </w:rPr>
              <w:t>Cash and cash equivalents ............................................................</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15,859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$ 16,941</w:t>
            </w:r>
          </w:p>
        </w:tc>
      </w:tr>
      <w:tr>
        <w:trPr>
          <w:trHeight w:val="172"/>
        </w:trPr>
        <w:tc>
          <w:tcPr>
            <w:tcW w:w="7720" w:type="dxa"/>
            <w:vAlign w:val="bottom"/>
          </w:tcPr>
          <w:p>
            <w:pPr>
              <w:jc w:val="right"/>
              <w:spacing w:after="0"/>
              <w:rPr>
                <w:sz w:val="20"/>
                <w:szCs w:val="20"/>
                <w:color w:val="auto"/>
              </w:rPr>
            </w:pPr>
            <w:r>
              <w:rPr>
                <w:rFonts w:ascii="Courier New" w:cs="Courier New" w:eastAsia="Courier New" w:hAnsi="Courier New"/>
                <w:sz w:val="15"/>
                <w:szCs w:val="15"/>
                <w:color w:val="auto"/>
                <w:w w:val="98"/>
              </w:rPr>
              <w:t>Accounts receivable, net .............................................................</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60,199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61,880</w:t>
            </w:r>
          </w:p>
        </w:tc>
      </w:tr>
      <w:tr>
        <w:trPr>
          <w:trHeight w:val="172"/>
        </w:trPr>
        <w:tc>
          <w:tcPr>
            <w:tcW w:w="7720" w:type="dxa"/>
            <w:vAlign w:val="bottom"/>
          </w:tcPr>
          <w:p>
            <w:pPr>
              <w:jc w:val="right"/>
              <w:spacing w:after="0"/>
              <w:rPr>
                <w:sz w:val="20"/>
                <w:szCs w:val="20"/>
                <w:color w:val="auto"/>
              </w:rPr>
            </w:pPr>
            <w:r>
              <w:rPr>
                <w:rFonts w:ascii="Courier New" w:cs="Courier New" w:eastAsia="Courier New" w:hAnsi="Courier New"/>
                <w:sz w:val="15"/>
                <w:szCs w:val="15"/>
                <w:color w:val="auto"/>
                <w:w w:val="98"/>
              </w:rPr>
              <w:t>Newsprint inventory ..................................................................</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3,344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3,878</w:t>
            </w:r>
          </w:p>
        </w:tc>
      </w:tr>
      <w:tr>
        <w:trPr>
          <w:trHeight w:val="172"/>
        </w:trPr>
        <w:tc>
          <w:tcPr>
            <w:tcW w:w="7720" w:type="dxa"/>
            <w:vAlign w:val="bottom"/>
          </w:tcPr>
          <w:p>
            <w:pPr>
              <w:jc w:val="right"/>
              <w:spacing w:after="0"/>
              <w:rPr>
                <w:sz w:val="20"/>
                <w:szCs w:val="20"/>
                <w:color w:val="auto"/>
              </w:rPr>
            </w:pPr>
            <w:r>
              <w:rPr>
                <w:rFonts w:ascii="Courier New" w:cs="Courier New" w:eastAsia="Courier New" w:hAnsi="Courier New"/>
                <w:sz w:val="15"/>
                <w:szCs w:val="15"/>
                <w:color w:val="auto"/>
                <w:w w:val="98"/>
              </w:rPr>
              <w:t>Program rights and other .............................................................</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16,892</w:t>
            </w:r>
          </w:p>
        </w:tc>
      </w:tr>
      <w:tr>
        <w:trPr>
          <w:trHeight w:val="172"/>
        </w:trPr>
        <w:tc>
          <w:tcPr>
            <w:tcW w:w="77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72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 .......................................................</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91,617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99,591</w:t>
            </w:r>
          </w:p>
        </w:tc>
      </w:tr>
      <w:tr>
        <w:trPr>
          <w:trHeight w:val="344"/>
        </w:trPr>
        <w:tc>
          <w:tcPr>
            <w:tcW w:w="7720" w:type="dxa"/>
            <w:vAlign w:val="bottom"/>
          </w:tcPr>
          <w:p>
            <w:pPr>
              <w:jc w:val="right"/>
              <w:spacing w:after="0"/>
              <w:rPr>
                <w:sz w:val="20"/>
                <w:szCs w:val="20"/>
                <w:color w:val="auto"/>
              </w:rPr>
            </w:pPr>
            <w:r>
              <w:rPr>
                <w:rFonts w:ascii="Courier New" w:cs="Courier New" w:eastAsia="Courier New" w:hAnsi="Courier New"/>
                <w:sz w:val="15"/>
                <w:szCs w:val="15"/>
                <w:color w:val="auto"/>
                <w:w w:val="98"/>
              </w:rPr>
              <w:t>Investments ..........................................................................</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27,139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26,471</w:t>
            </w:r>
          </w:p>
        </w:tc>
      </w:tr>
      <w:tr>
        <w:trPr>
          <w:trHeight w:val="172"/>
        </w:trPr>
        <w:tc>
          <w:tcPr>
            <w:tcW w:w="7720" w:type="dxa"/>
            <w:vAlign w:val="bottom"/>
          </w:tcPr>
          <w:p>
            <w:pPr>
              <w:jc w:val="right"/>
              <w:spacing w:after="0"/>
              <w:rPr>
                <w:sz w:val="20"/>
                <w:szCs w:val="20"/>
                <w:color w:val="auto"/>
              </w:rPr>
            </w:pPr>
            <w:r>
              <w:rPr>
                <w:rFonts w:ascii="Courier New" w:cs="Courier New" w:eastAsia="Courier New" w:hAnsi="Courier New"/>
                <w:sz w:val="15"/>
                <w:szCs w:val="15"/>
                <w:color w:val="auto"/>
                <w:w w:val="98"/>
              </w:rPr>
              <w:t>Property and equipment, net ..........................................................</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134,459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128,372</w:t>
            </w:r>
          </w:p>
        </w:tc>
      </w:tr>
      <w:tr>
        <w:trPr>
          <w:trHeight w:val="172"/>
        </w:trPr>
        <w:tc>
          <w:tcPr>
            <w:tcW w:w="7720" w:type="dxa"/>
            <w:vAlign w:val="bottom"/>
          </w:tcPr>
          <w:p>
            <w:pPr>
              <w:jc w:val="right"/>
              <w:spacing w:after="0"/>
              <w:rPr>
                <w:sz w:val="20"/>
                <w:szCs w:val="20"/>
                <w:color w:val="auto"/>
              </w:rPr>
            </w:pPr>
            <w:r>
              <w:rPr>
                <w:rFonts w:ascii="Courier New" w:cs="Courier New" w:eastAsia="Courier New" w:hAnsi="Courier New"/>
                <w:sz w:val="15"/>
                <w:szCs w:val="15"/>
                <w:color w:val="auto"/>
                <w:w w:val="98"/>
              </w:rPr>
              <w:t>Intangibles and other assets .........................................................</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398,911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406,151</w:t>
            </w:r>
          </w:p>
        </w:tc>
      </w:tr>
      <w:tr>
        <w:trPr>
          <w:trHeight w:val="172"/>
        </w:trPr>
        <w:tc>
          <w:tcPr>
            <w:tcW w:w="77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72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$ 652,126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$660,585</w:t>
            </w:r>
          </w:p>
        </w:tc>
      </w:tr>
      <w:tr>
        <w:trPr>
          <w:trHeight w:val="172"/>
        </w:trPr>
        <w:tc>
          <w:tcPr>
            <w:tcW w:w="77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LIABILITIES AND STOCKHOLDERS' EQUITY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7720" w:type="dxa"/>
            <w:vAlign w:val="bottom"/>
          </w:tcPr>
          <w:p>
            <w:pPr>
              <w:spacing w:after="0"/>
              <w:rPr>
                <w:sz w:val="20"/>
                <w:szCs w:val="20"/>
                <w:color w:val="auto"/>
              </w:rPr>
            </w:pPr>
            <w:r>
              <w:rPr>
                <w:rFonts w:ascii="Courier New" w:cs="Courier New" w:eastAsia="Courier New" w:hAnsi="Courier New"/>
                <w:sz w:val="15"/>
                <w:szCs w:val="15"/>
                <w:color w:val="auto"/>
                <w:w w:val="99"/>
              </w:rPr>
              <w:t>Current liabilities ..................................................................</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72,210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$ 98,061</w:t>
            </w:r>
          </w:p>
        </w:tc>
      </w:tr>
      <w:tr>
        <w:trPr>
          <w:trHeight w:val="172"/>
        </w:trPr>
        <w:tc>
          <w:tcPr>
            <w:tcW w:w="7720" w:type="dxa"/>
            <w:vAlign w:val="bottom"/>
          </w:tcPr>
          <w:p>
            <w:pPr>
              <w:spacing w:after="0"/>
              <w:rPr>
                <w:sz w:val="20"/>
                <w:szCs w:val="20"/>
                <w:color w:val="auto"/>
              </w:rPr>
            </w:pPr>
            <w:r>
              <w:rPr>
                <w:rFonts w:ascii="Courier New" w:cs="Courier New" w:eastAsia="Courier New" w:hAnsi="Courier New"/>
                <w:sz w:val="15"/>
                <w:szCs w:val="15"/>
                <w:color w:val="auto"/>
                <w:w w:val="99"/>
              </w:rPr>
              <w:t>Long-term debt, less current maturities ..............................................</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186,133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186,028</w:t>
            </w:r>
          </w:p>
        </w:tc>
      </w:tr>
      <w:tr>
        <w:trPr>
          <w:trHeight w:val="172"/>
        </w:trPr>
        <w:tc>
          <w:tcPr>
            <w:tcW w:w="7720" w:type="dxa"/>
            <w:vAlign w:val="bottom"/>
          </w:tcPr>
          <w:p>
            <w:pPr>
              <w:spacing w:after="0"/>
              <w:rPr>
                <w:sz w:val="20"/>
                <w:szCs w:val="20"/>
                <w:color w:val="auto"/>
              </w:rPr>
            </w:pPr>
            <w:r>
              <w:rPr>
                <w:rFonts w:ascii="Courier New" w:cs="Courier New" w:eastAsia="Courier New" w:hAnsi="Courier New"/>
                <w:sz w:val="15"/>
                <w:szCs w:val="15"/>
                <w:color w:val="auto"/>
                <w:w w:val="99"/>
              </w:rPr>
              <w:t>Deferred items .......................................................................</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57,510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56,737</w:t>
            </w:r>
          </w:p>
        </w:tc>
      </w:tr>
      <w:tr>
        <w:trPr>
          <w:trHeight w:val="172"/>
        </w:trPr>
        <w:tc>
          <w:tcPr>
            <w:tcW w:w="772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 .................................................................</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336,273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319,759</w:t>
            </w:r>
          </w:p>
        </w:tc>
      </w:tr>
      <w:tr>
        <w:trPr>
          <w:trHeight w:val="172"/>
        </w:trPr>
        <w:tc>
          <w:tcPr>
            <w:tcW w:w="77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72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$ 652,126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$660,585</w:t>
            </w:r>
          </w:p>
        </w:tc>
      </w:tr>
      <w:tr>
        <w:trPr>
          <w:trHeight w:val="172"/>
        </w:trPr>
        <w:tc>
          <w:tcPr>
            <w:tcW w:w="77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728"/>
          </w:cols>
          <w:pgMar w:left="232" w:top="805" w:right="939" w:bottom="1440" w:gutter="0" w:footer="0" w:header="0"/>
        </w:sectPr>
      </w:pPr>
    </w:p>
    <w:bookmarkStart w:id="3" w:name="page4"/>
    <w:bookmarkEnd w:id="3"/>
    <w:p>
      <w:pPr>
        <w:ind w:left="8"/>
        <w:spacing w:after="0"/>
        <w:rPr>
          <w:sz w:val="20"/>
          <w:szCs w:val="20"/>
          <w:color w:val="auto"/>
        </w:rPr>
      </w:pPr>
      <w:r>
        <w:rPr>
          <w:rFonts w:ascii="Courier New" w:cs="Courier New" w:eastAsia="Courier New" w:hAnsi="Courier New"/>
          <w:sz w:val="15"/>
          <w:szCs w:val="15"/>
          <w:color w:val="auto"/>
        </w:rPr>
        <w:t>LEE ENTERPRISES, INCORPORATED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Thousands)</w:t>
      </w:r>
    </w:p>
    <w:p>
      <w:pPr>
        <w:spacing w:after="0" w:line="346" w:lineRule="exact"/>
        <w:rPr>
          <w:sz w:val="20"/>
          <w:szCs w:val="20"/>
          <w:color w:val="auto"/>
        </w:rPr>
      </w:pPr>
    </w:p>
    <w:p>
      <w:pPr>
        <w:ind w:left="8148"/>
        <w:spacing w:after="0"/>
        <w:tabs>
          <w:tab w:leader="none" w:pos="964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6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7600" w:type="dxa"/>
            <w:vAlign w:val="bottom"/>
          </w:tcPr>
          <w:p>
            <w:pPr>
              <w:jc w:val="right"/>
              <w:ind w:right="5205"/>
              <w:spacing w:after="0"/>
              <w:rPr>
                <w:sz w:val="20"/>
                <w:szCs w:val="20"/>
                <w:color w:val="auto"/>
              </w:rPr>
            </w:pPr>
            <w:r>
              <w:rPr>
                <w:rFonts w:ascii="Courier New" w:cs="Courier New" w:eastAsia="Courier New" w:hAnsi="Courier New"/>
                <w:sz w:val="15"/>
                <w:szCs w:val="15"/>
                <w:color w:val="auto"/>
                <w:w w:val="98"/>
              </w:rPr>
              <w:t>Six Months Ended March 31:</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600" w:type="dxa"/>
            <w:vAlign w:val="bottom"/>
          </w:tcPr>
          <w:p>
            <w:pPr>
              <w:ind w:left="260"/>
              <w:spacing w:after="0"/>
              <w:rPr>
                <w:sz w:val="20"/>
                <w:szCs w:val="20"/>
                <w:color w:val="auto"/>
              </w:rPr>
            </w:pPr>
            <w:r>
              <w:rPr>
                <w:rFonts w:ascii="Courier New" w:cs="Courier New" w:eastAsia="Courier New" w:hAnsi="Courier New"/>
                <w:sz w:val="15"/>
                <w:szCs w:val="15"/>
                <w:color w:val="auto"/>
              </w:rPr>
              <w:t>Cash Provided by Operations:</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 ...................................................................</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31,607</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29,195</w:t>
            </w:r>
          </w:p>
        </w:tc>
      </w:tr>
      <w:tr>
        <w:trPr>
          <w:trHeight w:val="172"/>
        </w:trPr>
        <w:tc>
          <w:tcPr>
            <w:tcW w:w="7600" w:type="dxa"/>
            <w:vAlign w:val="bottom"/>
          </w:tcPr>
          <w:p>
            <w:pPr>
              <w:jc w:val="right"/>
              <w:ind w:right="1985"/>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600" w:type="dxa"/>
            <w:vAlign w:val="bottom"/>
          </w:tcPr>
          <w:p>
            <w:pPr>
              <w:jc w:val="right"/>
              <w:ind w:right="5565"/>
              <w:spacing w:after="0"/>
              <w:rPr>
                <w:sz w:val="20"/>
                <w:szCs w:val="20"/>
                <w:color w:val="auto"/>
              </w:rPr>
            </w:pPr>
            <w:r>
              <w:rPr>
                <w:rFonts w:ascii="Courier New" w:cs="Courier New" w:eastAsia="Courier New" w:hAnsi="Courier New"/>
                <w:sz w:val="15"/>
                <w:szCs w:val="15"/>
                <w:color w:val="auto"/>
              </w:rPr>
              <w:t>by operations:</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 ..............................................</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19,150</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18,249</w:t>
            </w: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Distributions in excess of earnings of associated companies ................</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1,650</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1,287</w:t>
            </w: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balance sheet changes ................................................</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r>
      <w:tr>
        <w:trPr>
          <w:trHeight w:val="172"/>
        </w:trPr>
        <w:tc>
          <w:tcPr>
            <w:tcW w:w="7600" w:type="dxa"/>
            <w:vAlign w:val="bottom"/>
          </w:tcPr>
          <w:p>
            <w:pPr>
              <w:spacing w:after="0"/>
              <w:rPr>
                <w:sz w:val="14"/>
                <w:szCs w:val="14"/>
                <w:color w:val="auto"/>
              </w:rPr>
            </w:pPr>
          </w:p>
        </w:tc>
        <w:tc>
          <w:tcPr>
            <w:tcW w:w="26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cash provided by operations ..........................................</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51,256</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48,486</w:t>
            </w:r>
          </w:p>
        </w:tc>
      </w:tr>
      <w:tr>
        <w:trPr>
          <w:trHeight w:val="172"/>
        </w:trPr>
        <w:tc>
          <w:tcPr>
            <w:tcW w:w="7600" w:type="dxa"/>
            <w:vAlign w:val="bottom"/>
          </w:tcPr>
          <w:p>
            <w:pPr>
              <w:spacing w:after="0"/>
              <w:rPr>
                <w:sz w:val="14"/>
                <w:szCs w:val="14"/>
                <w:color w:val="auto"/>
              </w:rPr>
            </w:pPr>
          </w:p>
        </w:tc>
        <w:tc>
          <w:tcPr>
            <w:tcW w:w="26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7600" w:type="dxa"/>
            <w:vAlign w:val="bottom"/>
          </w:tcPr>
          <w:p>
            <w:pPr>
              <w:ind w:left="260"/>
              <w:spacing w:after="0"/>
              <w:rPr>
                <w:sz w:val="20"/>
                <w:szCs w:val="20"/>
                <w:color w:val="auto"/>
              </w:rPr>
            </w:pPr>
            <w:r>
              <w:rPr>
                <w:rFonts w:ascii="Courier New" w:cs="Courier New" w:eastAsia="Courier New" w:hAnsi="Courier New"/>
                <w:sz w:val="15"/>
                <w:szCs w:val="15"/>
                <w:color w:val="auto"/>
              </w:rPr>
              <w:t>Cash Provided by (Required For) Investing Activities:</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Purchase of property and equipment ...........................................</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(16,301)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(12,518)</w:t>
            </w: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Acquisitions .................................................................</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r>
      <w:tr>
        <w:trPr>
          <w:trHeight w:val="172"/>
        </w:trPr>
        <w:tc>
          <w:tcPr>
            <w:tcW w:w="7600" w:type="dxa"/>
            <w:vAlign w:val="bottom"/>
          </w:tcPr>
          <w:p>
            <w:pPr>
              <w:spacing w:after="0"/>
              <w:rPr>
                <w:sz w:val="14"/>
                <w:szCs w:val="14"/>
                <w:color w:val="auto"/>
              </w:rPr>
            </w:pPr>
          </w:p>
        </w:tc>
        <w:tc>
          <w:tcPr>
            <w:tcW w:w="26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cash provided by (required for) investing activities .................</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(18,575)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(13,147)</w:t>
            </w:r>
          </w:p>
        </w:tc>
      </w:tr>
      <w:tr>
        <w:trPr>
          <w:trHeight w:val="172"/>
        </w:trPr>
        <w:tc>
          <w:tcPr>
            <w:tcW w:w="7600" w:type="dxa"/>
            <w:vAlign w:val="bottom"/>
          </w:tcPr>
          <w:p>
            <w:pPr>
              <w:spacing w:after="0"/>
              <w:rPr>
                <w:sz w:val="14"/>
                <w:szCs w:val="14"/>
                <w:color w:val="auto"/>
              </w:rPr>
            </w:pPr>
          </w:p>
        </w:tc>
        <w:tc>
          <w:tcPr>
            <w:tcW w:w="26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7600" w:type="dxa"/>
            <w:vAlign w:val="bottom"/>
          </w:tcPr>
          <w:p>
            <w:pPr>
              <w:ind w:left="260"/>
              <w:spacing w:after="0"/>
              <w:rPr>
                <w:sz w:val="20"/>
                <w:szCs w:val="20"/>
                <w:color w:val="auto"/>
              </w:rPr>
            </w:pPr>
            <w:r>
              <w:rPr>
                <w:rFonts w:ascii="Courier New" w:cs="Courier New" w:eastAsia="Courier New" w:hAnsi="Courier New"/>
                <w:sz w:val="15"/>
                <w:szCs w:val="15"/>
                <w:color w:val="auto"/>
              </w:rPr>
              <w:t>Cash Provided by (Required for) Financing Activities:</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Purchase of common stock .....................................................</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(32,888)</w:t>
            </w: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dividends paid ..........................................................</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(6,654)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(6,383)</w:t>
            </w: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Proceeds from long-term borrowings ...........................................</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185,000</w:t>
            </w: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Principal payments on long-term debt .........................................</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Principal payments on short-term notes payable, net ..........................</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156</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w:t>
            </w:r>
          </w:p>
        </w:tc>
      </w:tr>
      <w:tr>
        <w:trPr>
          <w:trHeight w:val="172"/>
        </w:trPr>
        <w:tc>
          <w:tcPr>
            <w:tcW w:w="7600" w:type="dxa"/>
            <w:vAlign w:val="bottom"/>
          </w:tcPr>
          <w:p>
            <w:pPr>
              <w:spacing w:after="0"/>
              <w:rPr>
                <w:sz w:val="14"/>
                <w:szCs w:val="14"/>
                <w:color w:val="auto"/>
              </w:rPr>
            </w:pPr>
          </w:p>
        </w:tc>
        <w:tc>
          <w:tcPr>
            <w:tcW w:w="26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cash provided by (required for) financing activities .................</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(33,763)</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116,225</w:t>
            </w:r>
          </w:p>
        </w:tc>
      </w:tr>
      <w:tr>
        <w:trPr>
          <w:trHeight w:val="172"/>
        </w:trPr>
        <w:tc>
          <w:tcPr>
            <w:tcW w:w="7600" w:type="dxa"/>
            <w:vAlign w:val="bottom"/>
          </w:tcPr>
          <w:p>
            <w:pPr>
              <w:spacing w:after="0"/>
              <w:rPr>
                <w:sz w:val="14"/>
                <w:szCs w:val="14"/>
                <w:color w:val="auto"/>
              </w:rPr>
            </w:pPr>
          </w:p>
        </w:tc>
        <w:tc>
          <w:tcPr>
            <w:tcW w:w="26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increase in cash and cash equivalents ................................</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(1,082)</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151,564</w:t>
            </w:r>
          </w:p>
        </w:tc>
      </w:tr>
      <w:tr>
        <w:trPr>
          <w:trHeight w:val="344"/>
        </w:trPr>
        <w:tc>
          <w:tcPr>
            <w:tcW w:w="76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Beginning ....................................................................</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16,941</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14,163</w:t>
            </w:r>
          </w:p>
        </w:tc>
      </w:tr>
      <w:tr>
        <w:trPr>
          <w:trHeight w:val="172"/>
        </w:trPr>
        <w:tc>
          <w:tcPr>
            <w:tcW w:w="7600" w:type="dxa"/>
            <w:vAlign w:val="bottom"/>
          </w:tcPr>
          <w:p>
            <w:pPr>
              <w:spacing w:after="0"/>
              <w:rPr>
                <w:sz w:val="14"/>
                <w:szCs w:val="14"/>
                <w:color w:val="auto"/>
              </w:rPr>
            </w:pPr>
          </w:p>
        </w:tc>
        <w:tc>
          <w:tcPr>
            <w:tcW w:w="26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Ending .......................................................................</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$ 15,859</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$165,727</w:t>
            </w:r>
          </w:p>
        </w:tc>
      </w:tr>
      <w:tr>
        <w:trPr>
          <w:trHeight w:val="172"/>
        </w:trPr>
        <w:tc>
          <w:tcPr>
            <w:tcW w:w="7600" w:type="dxa"/>
            <w:vAlign w:val="bottom"/>
          </w:tcPr>
          <w:p>
            <w:pPr>
              <w:spacing w:after="0"/>
              <w:rPr>
                <w:sz w:val="14"/>
                <w:szCs w:val="14"/>
                <w:color w:val="auto"/>
              </w:rPr>
            </w:pPr>
          </w:p>
        </w:tc>
        <w:tc>
          <w:tcPr>
            <w:tcW w:w="26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728"/>
          </w:cols>
          <w:pgMar w:left="232" w:top="805" w:right="9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LEE ENTERPRISES, INCORPORATED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UNAUDITED CONDENSED CONSOLIDATED FINANCIAL INFORMATION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6" w:lineRule="exact"/>
        <w:rPr>
          <w:sz w:val="20"/>
          <w:szCs w:val="20"/>
          <w:color w:val="auto"/>
        </w:rPr>
      </w:pPr>
    </w:p>
    <w:p>
      <w:pPr>
        <w:jc w:val="both"/>
        <w:ind w:right="3580"/>
        <w:spacing w:after="0" w:line="263" w:lineRule="auto"/>
        <w:rPr>
          <w:sz w:val="20"/>
          <w:szCs w:val="20"/>
          <w:color w:val="auto"/>
        </w:rPr>
      </w:pPr>
      <w:r>
        <w:rPr>
          <w:rFonts w:ascii="Courier New" w:cs="Courier New" w:eastAsia="Courier New" w:hAnsi="Courier New"/>
          <w:sz w:val="14"/>
          <w:szCs w:val="14"/>
          <w:color w:val="auto"/>
        </w:rPr>
        <w:t>The information furnished reflects all adjustments, consisting of normal recurring accruals, which are, in the opinion of management, necessary to a fair presentation of the financial position as of March 31, 1999 and the results of operations for the three- and six-month periods ended March 31, 1999 and 1998 and cash flows for the six-month periods ended March 31, 1999 and 1998.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Note 2.  Investment in Associated Companies</w:t>
            </w: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Condensed</w:t>
            </w:r>
          </w:p>
        </w:tc>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operating results of Madison  Newspapers,</w:t>
            </w:r>
          </w:p>
        </w:tc>
        <w:tc>
          <w:tcPr>
            <w:tcW w:w="2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Inc. (50% owned) and other</w:t>
            </w: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7500" w:type="dxa"/>
            <w:vAlign w:val="bottom"/>
            <w:gridSpan w:val="4"/>
          </w:tcPr>
          <w:p>
            <w:pPr>
              <w:spacing w:after="0"/>
              <w:rPr>
                <w:sz w:val="20"/>
                <w:szCs w:val="20"/>
                <w:color w:val="auto"/>
              </w:rPr>
            </w:pPr>
            <w:r>
              <w:rPr>
                <w:rFonts w:ascii="Courier New" w:cs="Courier New" w:eastAsia="Courier New" w:hAnsi="Courier New"/>
                <w:sz w:val="15"/>
                <w:szCs w:val="15"/>
                <w:color w:val="auto"/>
              </w:rPr>
              <w:t>unconsolidated associated companies are as follows (dollars in thousands):</w:t>
            </w:r>
          </w:p>
        </w:tc>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16"/>
        </w:trPr>
        <w:tc>
          <w:tcPr>
            <w:tcW w:w="8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7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Three Months Ended</w:t>
            </w:r>
          </w:p>
        </w:tc>
        <w:tc>
          <w:tcPr>
            <w:tcW w:w="322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jc w:val="right"/>
              <w:ind w:right="905"/>
              <w:spacing w:after="0"/>
              <w:rPr>
                <w:sz w:val="20"/>
                <w:szCs w:val="20"/>
                <w:color w:val="auto"/>
              </w:rPr>
            </w:pPr>
            <w:r>
              <w:rPr>
                <w:rFonts w:ascii="Courier New" w:cs="Courier New" w:eastAsia="Courier New" w:hAnsi="Courier New"/>
                <w:sz w:val="15"/>
                <w:szCs w:val="15"/>
                <w:color w:val="auto"/>
                <w:w w:val="97"/>
              </w:rPr>
              <w:t>Marh 31,</w:t>
            </w:r>
          </w:p>
        </w:tc>
        <w:tc>
          <w:tcPr>
            <w:tcW w:w="3220" w:type="dxa"/>
            <w:vAlign w:val="bottom"/>
            <w:gridSpan w:val="2"/>
          </w:tcPr>
          <w:p>
            <w:pPr>
              <w:jc w:val="right"/>
              <w:ind w:right="108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2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1999</w:t>
            </w:r>
          </w:p>
        </w:tc>
        <w:tc>
          <w:tcPr>
            <w:tcW w:w="15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2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516"/>
        </w:trPr>
        <w:tc>
          <w:tcPr>
            <w:tcW w:w="8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9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$ 21,660</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$ 20,242</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$ 45,250</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$ 42,027</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Operating expenses, except</w:t>
            </w: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15,487</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14,427</w:t>
            </w:r>
          </w:p>
        </w:tc>
        <w:tc>
          <w:tcPr>
            <w:tcW w:w="1700" w:type="dxa"/>
            <w:vAlign w:val="bottom"/>
          </w:tcPr>
          <w:p>
            <w:pPr>
              <w:ind w:left="720"/>
              <w:spacing w:after="0"/>
              <w:rPr>
                <w:sz w:val="20"/>
                <w:szCs w:val="20"/>
                <w:color w:val="auto"/>
              </w:rPr>
            </w:pPr>
            <w:r>
              <w:rPr>
                <w:rFonts w:ascii="Courier New" w:cs="Courier New" w:eastAsia="Courier New" w:hAnsi="Courier New"/>
                <w:sz w:val="15"/>
                <w:szCs w:val="15"/>
                <w:color w:val="auto"/>
              </w:rPr>
              <w:t>31,114</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28,672</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depreciation and amortization,</w:t>
            </w: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interest, and taxes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6,173</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5,815</w:t>
            </w:r>
          </w:p>
        </w:tc>
        <w:tc>
          <w:tcPr>
            <w:tcW w:w="1700" w:type="dxa"/>
            <w:vAlign w:val="bottom"/>
          </w:tcPr>
          <w:p>
            <w:pPr>
              <w:ind w:left="720"/>
              <w:spacing w:after="0"/>
              <w:rPr>
                <w:sz w:val="20"/>
                <w:szCs w:val="20"/>
                <w:color w:val="auto"/>
              </w:rPr>
            </w:pPr>
            <w:r>
              <w:rPr>
                <w:rFonts w:ascii="Courier New" w:cs="Courier New" w:eastAsia="Courier New" w:hAnsi="Courier New"/>
                <w:sz w:val="15"/>
                <w:szCs w:val="15"/>
                <w:color w:val="auto"/>
              </w:rPr>
              <w:t>14,136</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13,355</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717</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1,549</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1,430</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5,417</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5,098</w:t>
            </w:r>
          </w:p>
        </w:tc>
        <w:tc>
          <w:tcPr>
            <w:tcW w:w="1700" w:type="dxa"/>
            <w:vAlign w:val="bottom"/>
          </w:tcPr>
          <w:p>
            <w:pPr>
              <w:ind w:left="720"/>
              <w:spacing w:after="0"/>
              <w:rPr>
                <w:sz w:val="20"/>
                <w:szCs w:val="20"/>
                <w:color w:val="auto"/>
              </w:rPr>
            </w:pPr>
            <w:r>
              <w:rPr>
                <w:rFonts w:ascii="Courier New" w:cs="Courier New" w:eastAsia="Courier New" w:hAnsi="Courier New"/>
                <w:sz w:val="15"/>
                <w:szCs w:val="15"/>
                <w:color w:val="auto"/>
              </w:rPr>
              <w:t>12,587</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11,925</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Financial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363</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291</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686</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623</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5,780</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5,389</w:t>
            </w:r>
          </w:p>
        </w:tc>
        <w:tc>
          <w:tcPr>
            <w:tcW w:w="1700" w:type="dxa"/>
            <w:vAlign w:val="bottom"/>
          </w:tcPr>
          <w:p>
            <w:pPr>
              <w:ind w:left="720"/>
              <w:spacing w:after="0"/>
              <w:rPr>
                <w:sz w:val="20"/>
                <w:szCs w:val="20"/>
                <w:color w:val="auto"/>
              </w:rPr>
            </w:pPr>
            <w:r>
              <w:rPr>
                <w:rFonts w:ascii="Courier New" w:cs="Courier New" w:eastAsia="Courier New" w:hAnsi="Courier New"/>
                <w:sz w:val="15"/>
                <w:szCs w:val="15"/>
                <w:color w:val="auto"/>
              </w:rPr>
              <w:t>13,273</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12,548</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2,285</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2,169</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5,316</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5,030</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3,495</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3,220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7,957</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7,518</w:t>
            </w:r>
          </w:p>
        </w:tc>
      </w:tr>
      <w:tr>
        <w:trPr>
          <w:trHeight w:val="688"/>
        </w:trPr>
        <w:tc>
          <w:tcPr>
            <w:tcW w:w="800" w:type="dxa"/>
            <w:vAlign w:val="bottom"/>
          </w:tcPr>
          <w:p>
            <w:pPr>
              <w:spacing w:after="0"/>
              <w:rPr>
                <w:sz w:val="20"/>
                <w:szCs w:val="20"/>
                <w:color w:val="auto"/>
              </w:rPr>
            </w:pPr>
            <w:r>
              <w:rPr>
                <w:rFonts w:ascii="Courier New" w:cs="Courier New" w:eastAsia="Courier New" w:hAnsi="Courier New"/>
                <w:sz w:val="15"/>
                <w:szCs w:val="15"/>
                <w:color w:val="auto"/>
              </w:rPr>
              <w:t>Note 3.</w:t>
            </w:r>
          </w:p>
        </w:tc>
        <w:tc>
          <w:tcPr>
            <w:tcW w:w="3940" w:type="dxa"/>
            <w:vAlign w:val="bottom"/>
          </w:tcPr>
          <w:p>
            <w:pPr>
              <w:spacing w:after="0"/>
              <w:rPr>
                <w:sz w:val="20"/>
                <w:szCs w:val="20"/>
                <w:color w:val="auto"/>
              </w:rPr>
            </w:pPr>
            <w:r>
              <w:rPr>
                <w:rFonts w:ascii="Courier New" w:cs="Courier New" w:eastAsia="Courier New" w:hAnsi="Courier New"/>
                <w:sz w:val="15"/>
                <w:szCs w:val="15"/>
                <w:color w:val="auto"/>
              </w:rPr>
              <w:t>Cash  Flows Information</w:t>
            </w: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The components of other balance sheet changes are:</w:t>
            </w: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16"/>
        </w:trPr>
        <w:tc>
          <w:tcPr>
            <w:tcW w:w="8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2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(In Thousands)</w:t>
            </w:r>
          </w:p>
        </w:tc>
      </w:tr>
      <w:tr>
        <w:trPr>
          <w:trHeight w:val="516"/>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(Increase) decrease in receivables</w:t>
            </w: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ind w:left="720"/>
              <w:spacing w:after="0"/>
              <w:rPr>
                <w:sz w:val="20"/>
                <w:szCs w:val="20"/>
                <w:color w:val="auto"/>
              </w:rPr>
            </w:pPr>
            <w:r>
              <w:rPr>
                <w:rFonts w:ascii="Courier New" w:cs="Courier New" w:eastAsia="Courier New" w:hAnsi="Courier New"/>
                <w:sz w:val="15"/>
                <w:szCs w:val="15"/>
                <w:color w:val="auto"/>
              </w:rPr>
              <w:t>$   244</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$(3,035)</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Decrease in inventories, film rights and other</w:t>
            </w: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1,347</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3,986</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(Decrease) in accounts payable, accrued expenses and</w:t>
            </w: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unearned income</w:t>
            </w: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(3,556)</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(1,689)</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Increase in income taxes payable</w:t>
            </w: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163</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433</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Other, primarily deferred items</w:t>
            </w: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651</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60</w:t>
            </w:r>
          </w:p>
        </w:tc>
      </w:tr>
      <w:tr>
        <w:trPr>
          <w:trHeight w:val="172"/>
        </w:trPr>
        <w:tc>
          <w:tcPr>
            <w:tcW w:w="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ind w:left="720"/>
              <w:spacing w:after="0"/>
              <w:rPr>
                <w:sz w:val="20"/>
                <w:szCs w:val="20"/>
                <w:color w:val="auto"/>
              </w:rPr>
            </w:pPr>
            <w:r>
              <w:rPr>
                <w:rFonts w:ascii="Courier New" w:cs="Courier New" w:eastAsia="Courier New" w:hAnsi="Courier New"/>
                <w:sz w:val="15"/>
                <w:szCs w:val="15"/>
                <w:color w:val="auto"/>
              </w:rPr>
              <w:t>$(1,151)</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(245)</w:t>
            </w:r>
          </w:p>
        </w:tc>
      </w:tr>
      <w:tr>
        <w:trPr>
          <w:trHeight w:val="172"/>
        </w:trPr>
        <w:tc>
          <w:tcPr>
            <w:tcW w:w="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8"/>
              </w:rPr>
              <w:t>============================</w:t>
            </w:r>
          </w:p>
        </w:tc>
      </w:tr>
    </w:tbl>
    <w:p>
      <w:pPr>
        <w:sectPr>
          <w:pgSz w:w="11900" w:h="16838" w:orient="portrait"/>
          <w:cols w:equalWidth="0" w:num="1">
            <w:col w:w="10720"/>
          </w:cols>
          <w:pgMar w:left="240" w:top="1149" w:right="9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Note 4. Change in Accounting Principles</w:t>
      </w:r>
    </w:p>
    <w:p>
      <w:pPr>
        <w:spacing w:after="0" w:line="176" w:lineRule="exact"/>
        <w:rPr>
          <w:sz w:val="20"/>
          <w:szCs w:val="20"/>
          <w:color w:val="auto"/>
        </w:rPr>
      </w:pPr>
    </w:p>
    <w:p>
      <w:pPr>
        <w:jc w:val="both"/>
        <w:ind w:right="3140"/>
        <w:spacing w:after="0" w:line="242" w:lineRule="auto"/>
        <w:rPr>
          <w:sz w:val="20"/>
          <w:szCs w:val="20"/>
          <w:color w:val="auto"/>
        </w:rPr>
      </w:pPr>
      <w:r>
        <w:rPr>
          <w:rFonts w:ascii="Courier New" w:cs="Courier New" w:eastAsia="Courier New" w:hAnsi="Courier New"/>
          <w:sz w:val="15"/>
          <w:szCs w:val="15"/>
          <w:color w:val="auto"/>
        </w:rPr>
        <w:t>In June 1997, the FASB issued Statement No. 130 "Reporting Comprehensive Income" and Statement No. 131 "Disclosures about Segments of an Enterprise and Related Information". Statement No. 130 establishes standards for reporting comprehensive income in financial statements. Statement No. 131 expands certain reporting and disclosure requirements for segments from current standards. The Company adopted these standards effective for the fiscal year beginning October 1, 1998. The adoption of these new standards did not result in material changes to previously reported amounts or disclosures.</w:t>
      </w:r>
    </w:p>
    <w:p>
      <w:pPr>
        <w:spacing w:after="0" w:line="34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Earnings Per Share</w:t>
      </w:r>
    </w:p>
    <w:p>
      <w:pPr>
        <w:spacing w:after="0" w:line="176" w:lineRule="exact"/>
        <w:rPr>
          <w:sz w:val="20"/>
          <w:szCs w:val="20"/>
          <w:color w:val="auto"/>
        </w:rPr>
      </w:pPr>
    </w:p>
    <w:p>
      <w:pPr>
        <w:jc w:val="both"/>
        <w:ind w:right="3140"/>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 (in thousands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gridSpan w:val="3"/>
          </w:tcPr>
          <w:p>
            <w:pPr>
              <w:jc w:val="right"/>
              <w:ind w:right="425"/>
              <w:spacing w:after="0"/>
              <w:rPr>
                <w:sz w:val="20"/>
                <w:szCs w:val="20"/>
                <w:color w:val="auto"/>
              </w:rPr>
            </w:pPr>
            <w:r>
              <w:rPr>
                <w:rFonts w:ascii="Courier New" w:cs="Courier New" w:eastAsia="Courier New" w:hAnsi="Courier New"/>
                <w:sz w:val="15"/>
                <w:szCs w:val="15"/>
                <w:color w:val="auto"/>
                <w:w w:val="98"/>
              </w:rPr>
              <w:t>Three Months Ended</w:t>
            </w:r>
          </w:p>
        </w:tc>
        <w:tc>
          <w:tcPr>
            <w:tcW w:w="480" w:type="dxa"/>
            <w:vAlign w:val="bottom"/>
          </w:tcPr>
          <w:p>
            <w:pPr>
              <w:spacing w:after="0"/>
              <w:rPr>
                <w:sz w:val="14"/>
                <w:szCs w:val="14"/>
                <w:color w:val="auto"/>
              </w:rPr>
            </w:pPr>
          </w:p>
        </w:tc>
        <w:tc>
          <w:tcPr>
            <w:tcW w:w="224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4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March 31,</w:t>
            </w:r>
          </w:p>
        </w:tc>
        <w:tc>
          <w:tcPr>
            <w:tcW w:w="800" w:type="dxa"/>
            <w:vAlign w:val="bottom"/>
          </w:tcPr>
          <w:p>
            <w:pPr>
              <w:spacing w:after="0"/>
              <w:rPr>
                <w:sz w:val="14"/>
                <w:szCs w:val="14"/>
                <w:color w:val="auto"/>
              </w:rPr>
            </w:pPr>
          </w:p>
        </w:tc>
      </w:tr>
      <w:tr>
        <w:trPr>
          <w:trHeight w:val="172"/>
        </w:trPr>
        <w:tc>
          <w:tcPr>
            <w:tcW w:w="4500" w:type="dxa"/>
            <w:vAlign w:val="bottom"/>
          </w:tcPr>
          <w:p>
            <w:pPr>
              <w:spacing w:after="0"/>
              <w:rPr>
                <w:sz w:val="14"/>
                <w:szCs w:val="14"/>
                <w:color w:val="auto"/>
              </w:rPr>
            </w:pPr>
          </w:p>
        </w:tc>
        <w:tc>
          <w:tcPr>
            <w:tcW w:w="1760" w:type="dxa"/>
            <w:vAlign w:val="bottom"/>
            <w:gridSpan w:val="2"/>
          </w:tcPr>
          <w:p>
            <w:pPr>
              <w:ind w:left="600"/>
              <w:spacing w:after="0"/>
              <w:rPr>
                <w:sz w:val="20"/>
                <w:szCs w:val="20"/>
                <w:color w:val="auto"/>
              </w:rPr>
            </w:pPr>
            <w:r>
              <w:rPr>
                <w:rFonts w:ascii="Courier New" w:cs="Courier New" w:eastAsia="Courier New" w:hAnsi="Courier New"/>
                <w:sz w:val="10"/>
                <w:szCs w:val="10"/>
                <w:color w:val="auto"/>
                <w:w w:val="70"/>
              </w:rPr>
              <w: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4500" w:type="dxa"/>
            <w:vAlign w:val="bottom"/>
          </w:tcPr>
          <w:p>
            <w:pPr>
              <w:spacing w:after="0"/>
              <w:rPr>
                <w:sz w:val="14"/>
                <w:szCs w:val="14"/>
                <w:color w:val="auto"/>
              </w:rPr>
            </w:pPr>
          </w:p>
        </w:tc>
        <w:tc>
          <w:tcPr>
            <w:tcW w:w="1760" w:type="dxa"/>
            <w:vAlign w:val="bottom"/>
            <w:gridSpan w:val="2"/>
          </w:tcPr>
          <w:p>
            <w:pPr>
              <w:ind w:left="600"/>
              <w:spacing w:after="0"/>
              <w:rPr>
                <w:sz w:val="20"/>
                <w:szCs w:val="20"/>
                <w:color w:val="auto"/>
              </w:rPr>
            </w:pPr>
            <w:r>
              <w:rPr>
                <w:rFonts w:ascii="Courier New" w:cs="Courier New" w:eastAsia="Courier New" w:hAnsi="Courier New"/>
                <w:sz w:val="9"/>
                <w:szCs w:val="9"/>
                <w:color w:val="auto"/>
                <w:w w:val="75"/>
              </w:rPr>
              <w: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2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Numerator, income applicable to common</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shares, net income</w:t>
            </w:r>
          </w:p>
        </w:tc>
        <w:tc>
          <w:tcPr>
            <w:tcW w:w="94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11,968</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12,611</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31,607</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2"/>
              </w:rPr>
              <w:t>29,195</w:t>
            </w:r>
          </w:p>
        </w:tc>
      </w:tr>
      <w:tr>
        <w:trPr>
          <w:trHeight w:val="172"/>
        </w:trPr>
        <w:tc>
          <w:tcPr>
            <w:tcW w:w="4500" w:type="dxa"/>
            <w:vAlign w:val="bottom"/>
          </w:tcPr>
          <w:p>
            <w:pPr>
              <w:spacing w:after="0"/>
              <w:rPr>
                <w:sz w:val="14"/>
                <w:szCs w:val="14"/>
                <w:color w:val="auto"/>
              </w:rPr>
            </w:pPr>
          </w:p>
        </w:tc>
        <w:tc>
          <w:tcPr>
            <w:tcW w:w="5780" w:type="dxa"/>
            <w:vAlign w:val="bottom"/>
            <w:gridSpan w:val="8"/>
          </w:tcPr>
          <w:p>
            <w:pPr>
              <w:ind w:left="60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Basic-weighted average common shares</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00" w:type="dxa"/>
            <w:vAlign w:val="bottom"/>
          </w:tcPr>
          <w:p>
            <w:pPr>
              <w:ind w:left="520"/>
              <w:spacing w:after="0"/>
              <w:rPr>
                <w:sz w:val="20"/>
                <w:szCs w:val="20"/>
                <w:color w:val="auto"/>
              </w:rPr>
            </w:pPr>
            <w:r>
              <w:rPr>
                <w:rFonts w:ascii="Courier New" w:cs="Courier New" w:eastAsia="Courier New" w:hAnsi="Courier New"/>
                <w:sz w:val="15"/>
                <w:szCs w:val="15"/>
                <w:color w:val="auto"/>
              </w:rPr>
              <w:t>outstanding</w:t>
            </w:r>
          </w:p>
        </w:tc>
        <w:tc>
          <w:tcPr>
            <w:tcW w:w="9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44,246</w:t>
            </w:r>
          </w:p>
        </w:tc>
        <w:tc>
          <w:tcPr>
            <w:tcW w:w="480" w:type="dxa"/>
            <w:vAlign w:val="bottom"/>
          </w:tcPr>
          <w:p>
            <w:pPr>
              <w:spacing w:after="0"/>
              <w:rPr>
                <w:sz w:val="14"/>
                <w:szCs w:val="14"/>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44,990</w:t>
            </w: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44,257</w:t>
            </w:r>
          </w:p>
        </w:tc>
        <w:tc>
          <w:tcPr>
            <w:tcW w:w="82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2"/>
              </w:rPr>
              <w:t>45,153</w:t>
            </w:r>
          </w:p>
        </w:tc>
      </w:tr>
      <w:tr>
        <w:trPr>
          <w:trHeight w:val="172"/>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Dilutive effect of employee stock options</w:t>
            </w:r>
          </w:p>
        </w:tc>
        <w:tc>
          <w:tcPr>
            <w:tcW w:w="9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613</w:t>
            </w:r>
          </w:p>
        </w:tc>
        <w:tc>
          <w:tcPr>
            <w:tcW w:w="480" w:type="dxa"/>
            <w:vAlign w:val="bottom"/>
          </w:tcPr>
          <w:p>
            <w:pPr>
              <w:spacing w:after="0"/>
              <w:rPr>
                <w:sz w:val="14"/>
                <w:szCs w:val="14"/>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793</w:t>
            </w: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594</w:t>
            </w:r>
          </w:p>
        </w:tc>
        <w:tc>
          <w:tcPr>
            <w:tcW w:w="82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751</w:t>
            </w:r>
          </w:p>
        </w:tc>
      </w:tr>
      <w:tr>
        <w:trPr>
          <w:trHeight w:val="172"/>
        </w:trPr>
        <w:tc>
          <w:tcPr>
            <w:tcW w:w="4500" w:type="dxa"/>
            <w:vAlign w:val="bottom"/>
          </w:tcPr>
          <w:p>
            <w:pPr>
              <w:spacing w:after="0"/>
              <w:rPr>
                <w:sz w:val="14"/>
                <w:szCs w:val="14"/>
                <w:color w:val="auto"/>
              </w:rPr>
            </w:pPr>
          </w:p>
        </w:tc>
        <w:tc>
          <w:tcPr>
            <w:tcW w:w="5780" w:type="dxa"/>
            <w:vAlign w:val="bottom"/>
            <w:gridSpan w:val="8"/>
          </w:tcPr>
          <w:p>
            <w:pPr>
              <w:ind w:left="6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Diluted outstanding shares</w:t>
            </w:r>
          </w:p>
        </w:tc>
        <w:tc>
          <w:tcPr>
            <w:tcW w:w="9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44,859</w:t>
            </w:r>
          </w:p>
        </w:tc>
        <w:tc>
          <w:tcPr>
            <w:tcW w:w="480" w:type="dxa"/>
            <w:vAlign w:val="bottom"/>
          </w:tcPr>
          <w:p>
            <w:pPr>
              <w:spacing w:after="0"/>
              <w:rPr>
                <w:sz w:val="14"/>
                <w:szCs w:val="14"/>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45,783</w:t>
            </w: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44,851</w:t>
            </w:r>
          </w:p>
        </w:tc>
        <w:tc>
          <w:tcPr>
            <w:tcW w:w="82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2"/>
              </w:rPr>
              <w:t>45,904</w:t>
            </w:r>
          </w:p>
        </w:tc>
      </w:tr>
      <w:tr>
        <w:trPr>
          <w:trHeight w:val="172"/>
        </w:trPr>
        <w:tc>
          <w:tcPr>
            <w:tcW w:w="4500" w:type="dxa"/>
            <w:vAlign w:val="bottom"/>
          </w:tcPr>
          <w:p>
            <w:pPr>
              <w:spacing w:after="0"/>
              <w:rPr>
                <w:sz w:val="14"/>
                <w:szCs w:val="14"/>
                <w:color w:val="auto"/>
              </w:rPr>
            </w:pPr>
          </w:p>
        </w:tc>
        <w:tc>
          <w:tcPr>
            <w:tcW w:w="5780" w:type="dxa"/>
            <w:vAlign w:val="bottom"/>
            <w:gridSpan w:val="8"/>
          </w:tcPr>
          <w:p>
            <w:pPr>
              <w:ind w:left="60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94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0.27</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0.28</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0.71</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0.65</w:t>
            </w:r>
          </w:p>
        </w:tc>
      </w:tr>
      <w:tr>
        <w:trPr>
          <w:trHeight w:val="172"/>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Diluted</w:t>
            </w:r>
          </w:p>
        </w:tc>
        <w:tc>
          <w:tcPr>
            <w:tcW w:w="9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0.27</w:t>
            </w:r>
          </w:p>
        </w:tc>
        <w:tc>
          <w:tcPr>
            <w:tcW w:w="480" w:type="dxa"/>
            <w:vAlign w:val="bottom"/>
          </w:tcPr>
          <w:p>
            <w:pPr>
              <w:spacing w:after="0"/>
              <w:rPr>
                <w:sz w:val="14"/>
                <w:szCs w:val="14"/>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0.28</w:t>
            </w: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0.70</w:t>
            </w:r>
          </w:p>
        </w:tc>
        <w:tc>
          <w:tcPr>
            <w:tcW w:w="82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0.64</w:t>
            </w:r>
          </w:p>
        </w:tc>
      </w:tr>
    </w:tbl>
    <w:p>
      <w:pPr>
        <w:sectPr>
          <w:pgSz w:w="11900" w:h="16838" w:orient="portrait"/>
          <w:cols w:equalWidth="0" w:num="1">
            <w:col w:w="10280"/>
          </w:cols>
          <w:pgMar w:left="240" w:top="977" w:right="1379" w:bottom="1440" w:gutter="0" w:footer="0" w:header="0"/>
        </w:sectPr>
      </w:pPr>
    </w:p>
    <w:bookmarkStart w:id="6" w:name="page7"/>
    <w:bookmarkEnd w:id="6"/>
    <w:p>
      <w:pPr>
        <w:ind w:left="8" w:right="3079"/>
        <w:spacing w:after="0"/>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Operations by line of business are as follows (dollars in thousands, except per share data):</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w w:val="97"/>
              </w:rPr>
              <w:t>Three Months Ended</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Percent</w:t>
            </w:r>
          </w:p>
        </w:tc>
        <w:tc>
          <w:tcPr>
            <w:tcW w:w="260" w:type="dxa"/>
            <w:vAlign w:val="bottom"/>
          </w:tcPr>
          <w:p>
            <w:pPr>
              <w:spacing w:after="0"/>
              <w:rPr>
                <w:sz w:val="14"/>
                <w:szCs w:val="14"/>
                <w:color w:val="auto"/>
              </w:rPr>
            </w:pPr>
          </w:p>
        </w:tc>
        <w:tc>
          <w:tcPr>
            <w:tcW w:w="22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Six Months Ended</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Percent</w:t>
            </w:r>
          </w:p>
        </w:tc>
      </w:tr>
      <w:tr>
        <w:trPr>
          <w:trHeight w:val="172"/>
        </w:trPr>
        <w:tc>
          <w:tcPr>
            <w:tcW w:w="2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March 31,</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Increase</w:t>
            </w:r>
          </w:p>
        </w:tc>
        <w:tc>
          <w:tcPr>
            <w:tcW w:w="2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88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Increase</w:t>
            </w:r>
          </w:p>
        </w:tc>
      </w:tr>
      <w:tr>
        <w:trPr>
          <w:trHeight w:val="172"/>
        </w:trPr>
        <w:tc>
          <w:tcPr>
            <w:tcW w:w="294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Courier New" w:cs="Courier New" w:eastAsia="Courier New" w:hAnsi="Courier New"/>
                <w:sz w:val="9"/>
                <w:szCs w:val="9"/>
                <w:color w:val="auto"/>
                <w:w w:val="74"/>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500" w:type="dxa"/>
            <w:vAlign w:val="bottom"/>
            <w:gridSpan w:val="4"/>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172"/>
        </w:trPr>
        <w:tc>
          <w:tcPr>
            <w:tcW w:w="2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(Decrease)</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46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(Decrease)</w:t>
            </w:r>
          </w:p>
        </w:tc>
      </w:tr>
      <w:tr>
        <w:trPr>
          <w:trHeight w:val="172"/>
        </w:trPr>
        <w:tc>
          <w:tcPr>
            <w:tcW w:w="2940" w:type="dxa"/>
            <w:vAlign w:val="bottom"/>
          </w:tcPr>
          <w:p>
            <w:pPr>
              <w:spacing w:after="0"/>
              <w:rPr>
                <w:sz w:val="14"/>
                <w:szCs w:val="14"/>
                <w:color w:val="auto"/>
              </w:rPr>
            </w:pPr>
          </w:p>
        </w:tc>
        <w:tc>
          <w:tcPr>
            <w:tcW w:w="7060" w:type="dxa"/>
            <w:vAlign w:val="bottom"/>
            <w:gridSpan w:val="10"/>
          </w:tcPr>
          <w:p>
            <w:pPr>
              <w:ind w:left="2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Publishing</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96,524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90,398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203,061</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190,402</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6.6%</w:t>
            </w:r>
          </w:p>
        </w:tc>
      </w:tr>
      <w:tr>
        <w:trPr>
          <w:trHeight w:val="172"/>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Broadcasting</w:t>
            </w:r>
          </w:p>
        </w:tc>
        <w:tc>
          <w:tcPr>
            <w:tcW w:w="4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27,072</w:t>
            </w:r>
          </w:p>
        </w:tc>
        <w:tc>
          <w:tcPr>
            <w:tcW w:w="26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30,947</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62,662</w:t>
            </w:r>
          </w:p>
        </w:tc>
        <w:tc>
          <w:tcPr>
            <w:tcW w:w="46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62,202</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0.7</w:t>
            </w:r>
          </w:p>
        </w:tc>
      </w:tr>
      <w:tr>
        <w:trPr>
          <w:trHeight w:val="172"/>
        </w:trPr>
        <w:tc>
          <w:tcPr>
            <w:tcW w:w="2940" w:type="dxa"/>
            <w:vAlign w:val="bottom"/>
          </w:tcPr>
          <w:p>
            <w:pPr>
              <w:spacing w:after="0"/>
              <w:rPr>
                <w:sz w:val="14"/>
                <w:szCs w:val="14"/>
                <w:color w:val="auto"/>
              </w:rPr>
            </w:pPr>
          </w:p>
        </w:tc>
        <w:tc>
          <w:tcPr>
            <w:tcW w:w="3580" w:type="dxa"/>
            <w:vAlign w:val="bottom"/>
            <w:gridSpan w:val="5"/>
          </w:tcPr>
          <w:p>
            <w:pPr>
              <w:ind w:left="280"/>
              <w:spacing w:after="0"/>
              <w:rPr>
                <w:sz w:val="20"/>
                <w:szCs w:val="20"/>
                <w:color w:val="auto"/>
              </w:rPr>
            </w:pPr>
            <w:r>
              <w:rPr>
                <w:rFonts w:ascii="Courier New" w:cs="Courier New" w:eastAsia="Courier New" w:hAnsi="Courier New"/>
                <w:sz w:val="15"/>
                <w:szCs w:val="15"/>
                <w:color w:val="auto"/>
                <w:w w:val="98"/>
              </w:rPr>
              <w:t>-------------------------------------</w:t>
            </w:r>
          </w:p>
        </w:tc>
        <w:tc>
          <w:tcPr>
            <w:tcW w:w="348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94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$ 123,596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121,345</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265,723</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252,604</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5.2%</w:t>
            </w:r>
          </w:p>
        </w:tc>
      </w:tr>
      <w:tr>
        <w:trPr>
          <w:trHeight w:val="172"/>
        </w:trPr>
        <w:tc>
          <w:tcPr>
            <w:tcW w:w="2940" w:type="dxa"/>
            <w:vAlign w:val="bottom"/>
          </w:tcPr>
          <w:p>
            <w:pPr>
              <w:spacing w:after="0"/>
              <w:rPr>
                <w:sz w:val="14"/>
                <w:szCs w:val="14"/>
                <w:color w:val="auto"/>
              </w:rPr>
            </w:pPr>
          </w:p>
        </w:tc>
        <w:tc>
          <w:tcPr>
            <w:tcW w:w="7060" w:type="dxa"/>
            <w:vAlign w:val="bottom"/>
            <w:gridSpan w:val="10"/>
          </w:tcPr>
          <w:p>
            <w:pPr>
              <w:ind w:left="280"/>
              <w:spacing w:after="0"/>
              <w:rPr>
                <w:sz w:val="20"/>
                <w:szCs w:val="20"/>
                <w:color w:val="auto"/>
              </w:rPr>
            </w:pPr>
            <w:r>
              <w:rPr>
                <w:rFonts w:ascii="Courier New" w:cs="Courier New" w:eastAsia="Courier New" w:hAnsi="Courier New"/>
                <w:sz w:val="15"/>
                <w:szCs w:val="15"/>
                <w:color w:val="auto"/>
                <w:w w:val="98"/>
              </w:rPr>
              <w:t>===================================== ======================================</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before depreciation and</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amortization, interest and</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940" w:type="dxa"/>
            <w:vAlign w:val="bottom"/>
          </w:tcPr>
          <w:p>
            <w:pPr>
              <w:ind w:left="340"/>
              <w:spacing w:after="0"/>
              <w:rPr>
                <w:sz w:val="20"/>
                <w:szCs w:val="20"/>
                <w:color w:val="auto"/>
              </w:rPr>
            </w:pPr>
            <w:r>
              <w:rPr>
                <w:rFonts w:ascii="Courier New" w:cs="Courier New" w:eastAsia="Courier New" w:hAnsi="Courier New"/>
                <w:sz w:val="15"/>
                <w:szCs w:val="15"/>
                <w:color w:val="auto"/>
              </w:rPr>
              <w:t>taxes (EBITDA): *</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Publishing</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30,474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27,132</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12.3%</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66,194</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61,838</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7.0%</w:t>
            </w:r>
          </w:p>
        </w:tc>
      </w:tr>
      <w:tr>
        <w:trPr>
          <w:trHeight w:val="172"/>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Broadcasting</w:t>
            </w:r>
          </w:p>
        </w:tc>
        <w:tc>
          <w:tcPr>
            <w:tcW w:w="46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5"/>
                <w:szCs w:val="15"/>
                <w:color w:val="auto"/>
              </w:rPr>
              <w:t>4,674</w:t>
            </w:r>
          </w:p>
        </w:tc>
        <w:tc>
          <w:tcPr>
            <w:tcW w:w="26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8,394</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(44.3)</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17,202</w:t>
            </w:r>
          </w:p>
        </w:tc>
        <w:tc>
          <w:tcPr>
            <w:tcW w:w="4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16,817</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w:t>
            </w:r>
          </w:p>
        </w:tc>
      </w:tr>
      <w:tr>
        <w:trPr>
          <w:trHeight w:val="172"/>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Corporate</w:t>
            </w:r>
          </w:p>
        </w:tc>
        <w:tc>
          <w:tcPr>
            <w:tcW w:w="4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(3,333)</w:t>
            </w:r>
          </w:p>
        </w:tc>
        <w:tc>
          <w:tcPr>
            <w:tcW w:w="26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(2,605)</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(27.9)</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(7,293)</w:t>
            </w:r>
          </w:p>
        </w:tc>
        <w:tc>
          <w:tcPr>
            <w:tcW w:w="4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(6,560)</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(11.2)</w:t>
            </w:r>
          </w:p>
        </w:tc>
      </w:tr>
      <w:tr>
        <w:trPr>
          <w:trHeight w:val="172"/>
        </w:trPr>
        <w:tc>
          <w:tcPr>
            <w:tcW w:w="2940" w:type="dxa"/>
            <w:vAlign w:val="bottom"/>
          </w:tcPr>
          <w:p>
            <w:pPr>
              <w:spacing w:after="0"/>
              <w:rPr>
                <w:sz w:val="14"/>
                <w:szCs w:val="14"/>
                <w:color w:val="auto"/>
              </w:rPr>
            </w:pPr>
          </w:p>
        </w:tc>
        <w:tc>
          <w:tcPr>
            <w:tcW w:w="3580" w:type="dxa"/>
            <w:vAlign w:val="bottom"/>
            <w:gridSpan w:val="5"/>
          </w:tcPr>
          <w:p>
            <w:pPr>
              <w:ind w:left="280"/>
              <w:spacing w:after="0"/>
              <w:rPr>
                <w:sz w:val="20"/>
                <w:szCs w:val="20"/>
                <w:color w:val="auto"/>
              </w:rPr>
            </w:pPr>
            <w:r>
              <w:rPr>
                <w:rFonts w:ascii="Courier New" w:cs="Courier New" w:eastAsia="Courier New" w:hAnsi="Courier New"/>
                <w:sz w:val="15"/>
                <w:szCs w:val="15"/>
                <w:color w:val="auto"/>
                <w:w w:val="98"/>
              </w:rPr>
              <w:t>-------------------------------------</w:t>
            </w:r>
          </w:p>
        </w:tc>
        <w:tc>
          <w:tcPr>
            <w:tcW w:w="348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940" w:type="dxa"/>
            <w:vAlign w:val="bottom"/>
          </w:tcPr>
          <w:p>
            <w:pPr>
              <w:spacing w:after="0"/>
              <w:rPr>
                <w:sz w:val="14"/>
                <w:szCs w:val="14"/>
                <w:color w:val="auto"/>
              </w:rPr>
            </w:pP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31,815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32,921</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76,103</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72,095</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5.6%</w:t>
            </w:r>
          </w:p>
        </w:tc>
      </w:tr>
      <w:tr>
        <w:trPr>
          <w:trHeight w:val="172"/>
        </w:trPr>
        <w:tc>
          <w:tcPr>
            <w:tcW w:w="2940" w:type="dxa"/>
            <w:vAlign w:val="bottom"/>
          </w:tcPr>
          <w:p>
            <w:pPr>
              <w:spacing w:after="0"/>
              <w:rPr>
                <w:sz w:val="14"/>
                <w:szCs w:val="14"/>
                <w:color w:val="auto"/>
              </w:rPr>
            </w:pPr>
          </w:p>
        </w:tc>
        <w:tc>
          <w:tcPr>
            <w:tcW w:w="7060" w:type="dxa"/>
            <w:vAlign w:val="bottom"/>
            <w:gridSpan w:val="10"/>
          </w:tcPr>
          <w:p>
            <w:pPr>
              <w:ind w:left="280"/>
              <w:spacing w:after="0"/>
              <w:rPr>
                <w:sz w:val="20"/>
                <w:szCs w:val="20"/>
                <w:color w:val="auto"/>
              </w:rPr>
            </w:pPr>
            <w:r>
              <w:rPr>
                <w:rFonts w:ascii="Courier New" w:cs="Courier New" w:eastAsia="Courier New" w:hAnsi="Courier New"/>
                <w:sz w:val="15"/>
                <w:szCs w:val="15"/>
                <w:color w:val="auto"/>
                <w:w w:val="98"/>
              </w:rPr>
              <w:t>===================================== ======================================</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Publishing</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24,025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21,110</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13.8%</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53,302</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49,720</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7.2%</w:t>
            </w:r>
          </w:p>
        </w:tc>
      </w:tr>
      <w:tr>
        <w:trPr>
          <w:trHeight w:val="172"/>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Broadcasting</w:t>
            </w:r>
          </w:p>
        </w:tc>
        <w:tc>
          <w:tcPr>
            <w:tcW w:w="46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5"/>
                <w:szCs w:val="15"/>
                <w:color w:val="auto"/>
              </w:rPr>
              <w:t>1,846</w:t>
            </w:r>
          </w:p>
        </w:tc>
        <w:tc>
          <w:tcPr>
            <w:tcW w:w="26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5,579</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(66.9)</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11,653</w:t>
            </w:r>
          </w:p>
        </w:tc>
        <w:tc>
          <w:tcPr>
            <w:tcW w:w="4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11,259</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w:t>
            </w:r>
          </w:p>
        </w:tc>
      </w:tr>
      <w:tr>
        <w:trPr>
          <w:trHeight w:val="172"/>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Corporate</w:t>
            </w:r>
          </w:p>
        </w:tc>
        <w:tc>
          <w:tcPr>
            <w:tcW w:w="4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(3,718)</w:t>
            </w:r>
          </w:p>
        </w:tc>
        <w:tc>
          <w:tcPr>
            <w:tcW w:w="26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(2,941)</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(26.4)</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(8,002)</w:t>
            </w:r>
          </w:p>
        </w:tc>
        <w:tc>
          <w:tcPr>
            <w:tcW w:w="4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(7,133)</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(12.2)</w:t>
            </w:r>
          </w:p>
        </w:tc>
      </w:tr>
      <w:tr>
        <w:trPr>
          <w:trHeight w:val="172"/>
        </w:trPr>
        <w:tc>
          <w:tcPr>
            <w:tcW w:w="2940" w:type="dxa"/>
            <w:vAlign w:val="bottom"/>
          </w:tcPr>
          <w:p>
            <w:pPr>
              <w:spacing w:after="0"/>
              <w:rPr>
                <w:sz w:val="14"/>
                <w:szCs w:val="14"/>
                <w:color w:val="auto"/>
              </w:rPr>
            </w:pPr>
          </w:p>
        </w:tc>
        <w:tc>
          <w:tcPr>
            <w:tcW w:w="3580" w:type="dxa"/>
            <w:vAlign w:val="bottom"/>
            <w:gridSpan w:val="5"/>
          </w:tcPr>
          <w:p>
            <w:pPr>
              <w:ind w:left="280"/>
              <w:spacing w:after="0"/>
              <w:rPr>
                <w:sz w:val="20"/>
                <w:szCs w:val="20"/>
                <w:color w:val="auto"/>
              </w:rPr>
            </w:pPr>
            <w:r>
              <w:rPr>
                <w:rFonts w:ascii="Courier New" w:cs="Courier New" w:eastAsia="Courier New" w:hAnsi="Courier New"/>
                <w:sz w:val="15"/>
                <w:szCs w:val="15"/>
                <w:color w:val="auto"/>
                <w:w w:val="98"/>
              </w:rPr>
              <w:t>-------------------------------------</w:t>
            </w:r>
          </w:p>
        </w:tc>
        <w:tc>
          <w:tcPr>
            <w:tcW w:w="348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940" w:type="dxa"/>
            <w:vAlign w:val="bottom"/>
          </w:tcPr>
          <w:p>
            <w:pPr>
              <w:spacing w:after="0"/>
              <w:rPr>
                <w:sz w:val="14"/>
                <w:szCs w:val="14"/>
                <w:color w:val="auto"/>
              </w:rPr>
            </w:pP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22,153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23,748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56,953</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53,846</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5.8%</w:t>
            </w:r>
          </w:p>
        </w:tc>
      </w:tr>
      <w:tr>
        <w:trPr>
          <w:trHeight w:val="172"/>
        </w:trPr>
        <w:tc>
          <w:tcPr>
            <w:tcW w:w="2940" w:type="dxa"/>
            <w:vAlign w:val="bottom"/>
          </w:tcPr>
          <w:p>
            <w:pPr>
              <w:spacing w:after="0"/>
              <w:rPr>
                <w:sz w:val="14"/>
                <w:szCs w:val="14"/>
                <w:color w:val="auto"/>
              </w:rPr>
            </w:pPr>
          </w:p>
        </w:tc>
        <w:tc>
          <w:tcPr>
            <w:tcW w:w="7060" w:type="dxa"/>
            <w:vAlign w:val="bottom"/>
            <w:gridSpan w:val="10"/>
          </w:tcPr>
          <w:p>
            <w:pPr>
              <w:ind w:left="280"/>
              <w:spacing w:after="0"/>
              <w:rPr>
                <w:sz w:val="20"/>
                <w:szCs w:val="20"/>
                <w:color w:val="auto"/>
              </w:rPr>
            </w:pPr>
            <w:r>
              <w:rPr>
                <w:rFonts w:ascii="Courier New" w:cs="Courier New" w:eastAsia="Courier New" w:hAnsi="Courier New"/>
                <w:sz w:val="15"/>
                <w:szCs w:val="15"/>
                <w:color w:val="auto"/>
                <w:w w:val="98"/>
              </w:rPr>
              <w:t>===================================== ======================================</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Publishing</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5,184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5,696</w:t>
            </w:r>
          </w:p>
        </w:tc>
        <w:tc>
          <w:tcPr>
            <w:tcW w:w="98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10,777</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8,327</w:t>
            </w:r>
          </w:p>
        </w:tc>
        <w:tc>
          <w:tcPr>
            <w:tcW w:w="980" w:type="dxa"/>
            <w:vAlign w:val="bottom"/>
          </w:tcPr>
          <w:p>
            <w:pPr>
              <w:spacing w:after="0"/>
              <w:rPr>
                <w:sz w:val="14"/>
                <w:szCs w:val="14"/>
                <w:color w:val="auto"/>
              </w:rPr>
            </w:pPr>
          </w:p>
        </w:tc>
      </w:tr>
      <w:tr>
        <w:trPr>
          <w:trHeight w:val="172"/>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Broadcasting</w:t>
            </w:r>
          </w:p>
        </w:tc>
        <w:tc>
          <w:tcPr>
            <w:tcW w:w="4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2,247</w:t>
            </w:r>
          </w:p>
        </w:tc>
        <w:tc>
          <w:tcPr>
            <w:tcW w:w="260" w:type="dxa"/>
            <w:vAlign w:val="bottom"/>
          </w:tcPr>
          <w:p>
            <w:pPr>
              <w:spacing w:after="0"/>
              <w:rPr>
                <w:sz w:val="14"/>
                <w:szCs w:val="14"/>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1,755</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5,142</w:t>
            </w:r>
          </w:p>
        </w:tc>
        <w:tc>
          <w:tcPr>
            <w:tcW w:w="4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3,205</w:t>
            </w:r>
          </w:p>
        </w:tc>
        <w:tc>
          <w:tcPr>
            <w:tcW w:w="980" w:type="dxa"/>
            <w:vAlign w:val="bottom"/>
          </w:tcPr>
          <w:p>
            <w:pPr>
              <w:spacing w:after="0"/>
              <w:rPr>
                <w:sz w:val="14"/>
                <w:szCs w:val="14"/>
                <w:color w:val="auto"/>
              </w:rPr>
            </w:pPr>
          </w:p>
        </w:tc>
      </w:tr>
      <w:tr>
        <w:trPr>
          <w:trHeight w:val="172"/>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Corporate</w:t>
            </w:r>
          </w:p>
        </w:tc>
        <w:tc>
          <w:tcPr>
            <w:tcW w:w="46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720</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382</w:t>
            </w:r>
          </w:p>
        </w:tc>
        <w:tc>
          <w:tcPr>
            <w:tcW w:w="4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986</w:t>
            </w:r>
          </w:p>
        </w:tc>
        <w:tc>
          <w:tcPr>
            <w:tcW w:w="980" w:type="dxa"/>
            <w:vAlign w:val="bottom"/>
          </w:tcPr>
          <w:p>
            <w:pPr>
              <w:spacing w:after="0"/>
              <w:rPr>
                <w:sz w:val="14"/>
                <w:szCs w:val="14"/>
                <w:color w:val="auto"/>
              </w:rPr>
            </w:pPr>
          </w:p>
        </w:tc>
      </w:tr>
      <w:tr>
        <w:trPr>
          <w:trHeight w:val="172"/>
        </w:trPr>
        <w:tc>
          <w:tcPr>
            <w:tcW w:w="294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Courier New" w:cs="Courier New" w:eastAsia="Courier New" w:hAnsi="Courier New"/>
                <w:sz w:val="9"/>
                <w:szCs w:val="9"/>
                <w:color w:val="auto"/>
                <w:w w:val="71"/>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50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spacing w:after="0"/>
              <w:rPr>
                <w:sz w:val="14"/>
                <w:szCs w:val="14"/>
                <w:color w:val="auto"/>
              </w:rPr>
            </w:pPr>
          </w:p>
        </w:tc>
      </w:tr>
      <w:tr>
        <w:trPr>
          <w:trHeight w:val="172"/>
        </w:trPr>
        <w:tc>
          <w:tcPr>
            <w:tcW w:w="2940" w:type="dxa"/>
            <w:vAlign w:val="bottom"/>
          </w:tcPr>
          <w:p>
            <w:pPr>
              <w:spacing w:after="0"/>
              <w:rPr>
                <w:sz w:val="14"/>
                <w:szCs w:val="14"/>
                <w:color w:val="auto"/>
              </w:rPr>
            </w:pP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7,431 $</w:t>
            </w:r>
          </w:p>
        </w:tc>
        <w:tc>
          <w:tcPr>
            <w:tcW w:w="260" w:type="dxa"/>
            <w:vAlign w:val="bottom"/>
          </w:tcPr>
          <w:p>
            <w:pPr>
              <w:spacing w:after="0"/>
              <w:rPr>
                <w:sz w:val="14"/>
                <w:szCs w:val="14"/>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8,171</w:t>
            </w:r>
          </w:p>
        </w:tc>
        <w:tc>
          <w:tcPr>
            <w:tcW w:w="98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16,301</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12,518</w:t>
            </w:r>
          </w:p>
        </w:tc>
        <w:tc>
          <w:tcPr>
            <w:tcW w:w="980" w:type="dxa"/>
            <w:vAlign w:val="bottom"/>
          </w:tcPr>
          <w:p>
            <w:pPr>
              <w:spacing w:after="0"/>
              <w:rPr>
                <w:sz w:val="14"/>
                <w:szCs w:val="14"/>
                <w:color w:val="auto"/>
              </w:rPr>
            </w:pPr>
          </w:p>
        </w:tc>
      </w:tr>
      <w:tr>
        <w:trPr>
          <w:trHeight w:val="172"/>
        </w:trPr>
        <w:tc>
          <w:tcPr>
            <w:tcW w:w="2940" w:type="dxa"/>
            <w:vAlign w:val="bottom"/>
          </w:tcPr>
          <w:p>
            <w:pPr>
              <w:spacing w:after="0"/>
              <w:rPr>
                <w:sz w:val="14"/>
                <w:szCs w:val="14"/>
                <w:color w:val="auto"/>
              </w:rPr>
            </w:pPr>
          </w:p>
        </w:tc>
        <w:tc>
          <w:tcPr>
            <w:tcW w:w="2600" w:type="dxa"/>
            <w:vAlign w:val="bottom"/>
            <w:gridSpan w:val="4"/>
          </w:tcPr>
          <w:p>
            <w:pPr>
              <w:ind w:left="280"/>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spacing w:after="0"/>
              <w:rPr>
                <w:sz w:val="14"/>
                <w:szCs w:val="14"/>
                <w:color w:val="auto"/>
              </w:rPr>
            </w:pPr>
          </w:p>
        </w:tc>
        <w:tc>
          <w:tcPr>
            <w:tcW w:w="250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spacing w:after="0"/>
              <w:rPr>
                <w:sz w:val="14"/>
                <w:szCs w:val="14"/>
                <w:color w:val="auto"/>
              </w:rPr>
            </w:pPr>
          </w:p>
        </w:tc>
      </w:tr>
    </w:tbl>
    <w:p>
      <w:pPr>
        <w:spacing w:after="0" w:line="348" w:lineRule="exact"/>
        <w:rPr>
          <w:sz w:val="20"/>
          <w:szCs w:val="20"/>
          <w:color w:val="auto"/>
        </w:rPr>
      </w:pPr>
    </w:p>
    <w:p>
      <w:pPr>
        <w:jc w:val="both"/>
        <w:ind w:left="268" w:right="3079" w:hanging="268"/>
        <w:spacing w:after="0" w:line="242" w:lineRule="auto"/>
        <w:tabs>
          <w:tab w:leader="none" w:pos="2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not a financial performance measurement under generally accepted accounting principles (GAAP), and should not be considered in isolation or a substitute for GAAP performance measurements. EBITDA is also not reflected in our consolidated statement of cash flows; but it is a common and meaningful alternative performance measurement for comparison to other companies in our industry.</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QUARTER ENDED MARCH 31, 1999</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PUBLISHING</w:t>
      </w:r>
    </w:p>
    <w:p>
      <w:pPr>
        <w:spacing w:after="0" w:line="176" w:lineRule="exact"/>
        <w:rPr>
          <w:sz w:val="20"/>
          <w:szCs w:val="20"/>
          <w:color w:val="auto"/>
        </w:rPr>
      </w:pPr>
    </w:p>
    <w:p>
      <w:pPr>
        <w:jc w:val="both"/>
        <w:ind w:left="8" w:right="3079"/>
        <w:spacing w:after="0" w:line="242" w:lineRule="auto"/>
        <w:rPr>
          <w:sz w:val="20"/>
          <w:szCs w:val="20"/>
          <w:color w:val="auto"/>
        </w:rPr>
      </w:pPr>
      <w:r>
        <w:rPr>
          <w:rFonts w:ascii="Courier New" w:cs="Courier New" w:eastAsia="Courier New" w:hAnsi="Courier New"/>
          <w:sz w:val="15"/>
          <w:szCs w:val="15"/>
          <w:color w:val="auto"/>
        </w:rPr>
        <w:t>Wholly-owned daily newspaper advertising revenue increased $2,605,000, 6.0%. Advertising revenue from local merchants increased $1,131,000, 4.8%. Local "run-of-press" advertising increased $754,000, 4.7%, as a result of a 3.7% increase in advertising inches. Local preprint revenue increased $377,000, 5.1%. Classified advertising revenue increased $650,000, 4.1%, as a result of a 4.7% increase in advertising inches offset by a decrease in average rates. Circulation revenue was flat due to promotional pricing and minimal rate increases.</w:t>
      </w:r>
    </w:p>
    <w:p>
      <w:pPr>
        <w:spacing w:after="0" w:line="177" w:lineRule="exact"/>
        <w:rPr>
          <w:sz w:val="20"/>
          <w:szCs w:val="20"/>
          <w:color w:val="auto"/>
        </w:rPr>
      </w:pPr>
    </w:p>
    <w:p>
      <w:pPr>
        <w:jc w:val="both"/>
        <w:ind w:left="8" w:right="3079"/>
        <w:spacing w:after="0" w:line="242" w:lineRule="auto"/>
        <w:rPr>
          <w:sz w:val="20"/>
          <w:szCs w:val="20"/>
          <w:color w:val="auto"/>
        </w:rPr>
      </w:pPr>
      <w:r>
        <w:rPr>
          <w:rFonts w:ascii="Courier New" w:cs="Courier New" w:eastAsia="Courier New" w:hAnsi="Courier New"/>
          <w:sz w:val="15"/>
          <w:szCs w:val="15"/>
          <w:color w:val="auto"/>
        </w:rPr>
        <w:t>Other revenue consists of revenue from weekly newspapers, classified and specialty publications, commercial printing, products delivered outside the newspaper (which include activities such as target marketing and special event production) and editorial service contracts with Madison Newspapers, Inc.</w:t>
      </w:r>
    </w:p>
    <w:p>
      <w:pPr>
        <w:sectPr>
          <w:pgSz w:w="11900" w:h="16838" w:orient="portrait"/>
          <w:cols w:equalWidth="0" w:num="1">
            <w:col w:w="10227"/>
          </w:cols>
          <w:pgMar w:left="232" w:top="80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Other revenue by category and by property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00" w:type="dxa"/>
            <w:vAlign w:val="bottom"/>
            <w:gridSpan w:val="4"/>
          </w:tcPr>
          <w:p>
            <w:pPr>
              <w:ind w:left="1700"/>
              <w:spacing w:after="0"/>
              <w:rPr>
                <w:sz w:val="20"/>
                <w:szCs w:val="20"/>
                <w:color w:val="auto"/>
              </w:rPr>
            </w:pPr>
            <w:r>
              <w:rPr>
                <w:rFonts w:ascii="Courier New" w:cs="Courier New" w:eastAsia="Courier New" w:hAnsi="Courier New"/>
                <w:sz w:val="15"/>
                <w:szCs w:val="15"/>
                <w:color w:val="auto"/>
              </w:rPr>
              <w:t>----------------------------</w:t>
            </w:r>
          </w:p>
        </w:tc>
      </w:tr>
      <w:tr>
        <w:trPr>
          <w:trHeight w:val="17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2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5440" w:type="dxa"/>
            <w:vAlign w:val="bottom"/>
            <w:gridSpan w:val="8"/>
          </w:tcPr>
          <w:p>
            <w:pPr>
              <w:spacing w:after="0"/>
              <w:rPr>
                <w:sz w:val="20"/>
                <w:szCs w:val="20"/>
                <w:color w:val="auto"/>
              </w:rPr>
            </w:pPr>
            <w:r>
              <w:rPr>
                <w:rFonts w:ascii="Courier New" w:cs="Courier New" w:eastAsia="Courier New" w:hAnsi="Courier New"/>
                <w:sz w:val="15"/>
                <w:szCs w:val="15"/>
                <w:color w:val="auto"/>
              </w:rPr>
              <w:t>Weekly newspapers, classified and specialty publications:</w:t>
            </w:r>
          </w:p>
        </w:tc>
        <w:tc>
          <w:tcPr>
            <w:tcW w:w="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3300" w:type="dxa"/>
            <w:vAlign w:val="bottom"/>
            <w:gridSpan w:val="5"/>
          </w:tcPr>
          <w:p>
            <w:pPr>
              <w:ind w:left="260"/>
              <w:spacing w:after="0"/>
              <w:rPr>
                <w:sz w:val="20"/>
                <w:szCs w:val="20"/>
                <w:color w:val="auto"/>
              </w:rPr>
            </w:pPr>
            <w:r>
              <w:rPr>
                <w:rFonts w:ascii="Courier New" w:cs="Courier New" w:eastAsia="Courier New" w:hAnsi="Courier New"/>
                <w:sz w:val="15"/>
                <w:szCs w:val="15"/>
                <w:color w:val="auto"/>
                <w:w w:val="98"/>
              </w:rPr>
              <w:t>Properties owned for entire period</w:t>
            </w:r>
          </w:p>
        </w:tc>
        <w:tc>
          <w:tcPr>
            <w:tcW w:w="720" w:type="dxa"/>
            <w:vAlign w:val="bottom"/>
            <w:gridSpan w:val="2"/>
          </w:tcPr>
          <w:p>
            <w:pPr>
              <w:jc w:val="right"/>
              <w:spacing w:after="0"/>
              <w:rPr>
                <w:sz w:val="20"/>
                <w:szCs w:val="20"/>
                <w:color w:val="auto"/>
              </w:rPr>
            </w:pPr>
            <w:r>
              <w:rPr>
                <w:rFonts w:ascii="Courier New" w:cs="Courier New" w:eastAsia="Courier New" w:hAnsi="Courier New"/>
                <w:sz w:val="3"/>
                <w:szCs w:val="3"/>
                <w:color w:val="auto"/>
                <w:w w:val="92"/>
              </w:rPr>
              <w:t>..........................................</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17,140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16,657</w:t>
            </w:r>
          </w:p>
        </w:tc>
      </w:tr>
      <w:tr>
        <w:trPr>
          <w:trHeight w:val="172"/>
        </w:trPr>
        <w:tc>
          <w:tcPr>
            <w:tcW w:w="3300" w:type="dxa"/>
            <w:vAlign w:val="bottom"/>
            <w:gridSpan w:val="5"/>
          </w:tcPr>
          <w:p>
            <w:pPr>
              <w:ind w:left="260"/>
              <w:spacing w:after="0"/>
              <w:rPr>
                <w:sz w:val="20"/>
                <w:szCs w:val="20"/>
                <w:color w:val="auto"/>
              </w:rPr>
            </w:pPr>
            <w:r>
              <w:rPr>
                <w:rFonts w:ascii="Courier New" w:cs="Courier New" w:eastAsia="Courier New" w:hAnsi="Courier New"/>
                <w:sz w:val="15"/>
                <w:szCs w:val="15"/>
                <w:color w:val="auto"/>
              </w:rPr>
              <w:t>Acquired since September 30, 1997</w:t>
            </w:r>
          </w:p>
        </w:tc>
        <w:tc>
          <w:tcPr>
            <w:tcW w:w="720" w:type="dxa"/>
            <w:vAlign w:val="bottom"/>
            <w:gridSpan w:val="2"/>
          </w:tcPr>
          <w:p>
            <w:pPr>
              <w:jc w:val="right"/>
              <w:spacing w:after="0"/>
              <w:rPr>
                <w:sz w:val="20"/>
                <w:szCs w:val="20"/>
                <w:color w:val="auto"/>
              </w:rPr>
            </w:pPr>
            <w:r>
              <w:rPr>
                <w:rFonts w:ascii="Courier New" w:cs="Courier New" w:eastAsia="Courier New" w:hAnsi="Courier New"/>
                <w:sz w:val="3"/>
                <w:szCs w:val="3"/>
                <w:color w:val="auto"/>
                <w:w w:val="90"/>
              </w:rPr>
              <w:t>...........................................</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2,521</w:t>
            </w:r>
          </w:p>
        </w:tc>
        <w:tc>
          <w:tcPr>
            <w:tcW w:w="44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r>
      <w:tr>
        <w:trPr>
          <w:trHeight w:val="172"/>
        </w:trPr>
        <w:tc>
          <w:tcPr>
            <w:tcW w:w="2580" w:type="dxa"/>
            <w:vAlign w:val="bottom"/>
            <w:gridSpan w:val="4"/>
          </w:tcPr>
          <w:p>
            <w:pPr>
              <w:spacing w:after="0"/>
              <w:rPr>
                <w:sz w:val="20"/>
                <w:szCs w:val="20"/>
                <w:color w:val="auto"/>
              </w:rPr>
            </w:pPr>
            <w:r>
              <w:rPr>
                <w:rFonts w:ascii="Courier New" w:cs="Courier New" w:eastAsia="Courier New" w:hAnsi="Courier New"/>
                <w:sz w:val="7"/>
                <w:szCs w:val="7"/>
                <w:color w:val="auto"/>
                <w:w w:val="76"/>
              </w:rPr>
              <w:t>Commercial printing ............................................................</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3,805</w:t>
            </w:r>
          </w:p>
        </w:tc>
        <w:tc>
          <w:tcPr>
            <w:tcW w:w="44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3,360</w:t>
            </w:r>
          </w:p>
        </w:tc>
      </w:tr>
      <w:tr>
        <w:trPr>
          <w:trHeight w:val="172"/>
        </w:trPr>
        <w:tc>
          <w:tcPr>
            <w:tcW w:w="4020" w:type="dxa"/>
            <w:vAlign w:val="bottom"/>
            <w:gridSpan w:val="7"/>
          </w:tcPr>
          <w:p>
            <w:pPr>
              <w:spacing w:after="0"/>
              <w:rPr>
                <w:sz w:val="20"/>
                <w:szCs w:val="20"/>
                <w:color w:val="auto"/>
              </w:rPr>
            </w:pPr>
            <w:r>
              <w:rPr>
                <w:rFonts w:ascii="Courier New" w:cs="Courier New" w:eastAsia="Courier New" w:hAnsi="Courier New"/>
                <w:sz w:val="11"/>
                <w:szCs w:val="11"/>
                <w:color w:val="auto"/>
                <w:w w:val="75"/>
              </w:rPr>
              <w:t>Products delivered outside the newspaper .......................................</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2,938</w:t>
            </w:r>
          </w:p>
        </w:tc>
        <w:tc>
          <w:tcPr>
            <w:tcW w:w="44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2,831</w:t>
            </w:r>
          </w:p>
        </w:tc>
      </w:tr>
      <w:tr>
        <w:trPr>
          <w:trHeight w:val="172"/>
        </w:trPr>
        <w:tc>
          <w:tcPr>
            <w:tcW w:w="3300" w:type="dxa"/>
            <w:vAlign w:val="bottom"/>
            <w:gridSpan w:val="5"/>
          </w:tcPr>
          <w:p>
            <w:pPr>
              <w:spacing w:after="0"/>
              <w:rPr>
                <w:sz w:val="20"/>
                <w:szCs w:val="20"/>
                <w:color w:val="auto"/>
              </w:rPr>
            </w:pPr>
            <w:r>
              <w:rPr>
                <w:rFonts w:ascii="Courier New" w:cs="Courier New" w:eastAsia="Courier New" w:hAnsi="Courier New"/>
                <w:sz w:val="9"/>
                <w:szCs w:val="9"/>
                <w:color w:val="auto"/>
                <w:w w:val="75"/>
              </w:rPr>
              <w:t>Editorial service contracts ....................................................</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2,396</w:t>
            </w:r>
          </w:p>
        </w:tc>
        <w:tc>
          <w:tcPr>
            <w:tcW w:w="44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2,383</w:t>
            </w:r>
          </w:p>
        </w:tc>
      </w:tr>
      <w:tr>
        <w:trPr>
          <w:trHeight w:val="17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00" w:type="dxa"/>
            <w:vAlign w:val="bottom"/>
            <w:gridSpan w:val="4"/>
          </w:tcPr>
          <w:p>
            <w:pPr>
              <w:ind w:left="1700"/>
              <w:spacing w:after="0"/>
              <w:rPr>
                <w:sz w:val="20"/>
                <w:szCs w:val="20"/>
                <w:color w:val="auto"/>
              </w:rPr>
            </w:pPr>
            <w:r>
              <w:rPr>
                <w:rFonts w:ascii="Courier New" w:cs="Courier New" w:eastAsia="Courier New" w:hAnsi="Courier New"/>
                <w:sz w:val="15"/>
                <w:szCs w:val="15"/>
                <w:color w:val="auto"/>
              </w:rPr>
              <w:t>----------------------------</w:t>
            </w:r>
          </w:p>
        </w:tc>
      </w:tr>
      <w:tr>
        <w:trPr>
          <w:trHeight w:val="17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28,800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25,337</w:t>
            </w:r>
          </w:p>
        </w:tc>
      </w:tr>
      <w:tr>
        <w:trPr>
          <w:trHeight w:val="17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00" w:type="dxa"/>
            <w:vAlign w:val="bottom"/>
            <w:gridSpan w:val="4"/>
          </w:tcPr>
          <w:p>
            <w:pPr>
              <w:ind w:left="1700"/>
              <w:spacing w:after="0"/>
              <w:rPr>
                <w:sz w:val="20"/>
                <w:szCs w:val="20"/>
                <w:color w:val="auto"/>
              </w:rPr>
            </w:pPr>
            <w:r>
              <w:rPr>
                <w:rFonts w:ascii="Courier New" w:cs="Courier New" w:eastAsia="Courier New" w:hAnsi="Courier New"/>
                <w:sz w:val="15"/>
                <w:szCs w:val="15"/>
                <w:color w:val="auto"/>
              </w:rPr>
              <w:t>============================</w:t>
            </w:r>
          </w:p>
        </w:tc>
      </w:tr>
      <w:tr>
        <w:trPr>
          <w:trHeight w:val="516"/>
        </w:trPr>
        <w:tc>
          <w:tcPr>
            <w:tcW w:w="8320" w:type="dxa"/>
            <w:vAlign w:val="bottom"/>
            <w:gridSpan w:val="10"/>
          </w:tcPr>
          <w:p>
            <w:pPr>
              <w:spacing w:after="0"/>
              <w:rPr>
                <w:sz w:val="20"/>
                <w:szCs w:val="20"/>
                <w:color w:val="auto"/>
              </w:rPr>
            </w:pPr>
            <w:r>
              <w:rPr>
                <w:rFonts w:ascii="Courier New" w:cs="Courier New" w:eastAsia="Courier New" w:hAnsi="Courier New"/>
                <w:sz w:val="15"/>
                <w:szCs w:val="15"/>
                <w:color w:val="auto"/>
              </w:rPr>
              <w:t>The following table sets forth the percentage of revenue of certain items in the</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2580" w:type="dxa"/>
            <w:vAlign w:val="bottom"/>
            <w:gridSpan w:val="4"/>
          </w:tcPr>
          <w:p>
            <w:pPr>
              <w:spacing w:after="0"/>
              <w:rPr>
                <w:sz w:val="20"/>
                <w:szCs w:val="20"/>
                <w:color w:val="auto"/>
              </w:rPr>
            </w:pPr>
            <w:r>
              <w:rPr>
                <w:rFonts w:ascii="Courier New" w:cs="Courier New" w:eastAsia="Courier New" w:hAnsi="Courier New"/>
                <w:sz w:val="7"/>
                <w:szCs w:val="7"/>
                <w:color w:val="auto"/>
                <w:w w:val="76"/>
              </w:rPr>
              <w:t>publishing segment .............................................................</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16"/>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88"/>
              </w:rPr>
              <w:t>1999</w:t>
            </w:r>
          </w:p>
        </w:tc>
        <w:tc>
          <w:tcPr>
            <w:tcW w:w="440" w:type="dxa"/>
            <w:vAlign w:val="bottom"/>
          </w:tcPr>
          <w:p>
            <w:pPr>
              <w:spacing w:after="0"/>
              <w:rPr>
                <w:sz w:val="24"/>
                <w:szCs w:val="24"/>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00" w:type="dxa"/>
            <w:vAlign w:val="bottom"/>
            <w:gridSpan w:val="4"/>
          </w:tcPr>
          <w:p>
            <w:pPr>
              <w:ind w:left="17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1100" w:type="dxa"/>
            <w:vAlign w:val="bottom"/>
            <w:gridSpan w:val="2"/>
          </w:tcPr>
          <w:p>
            <w:pPr>
              <w:spacing w:after="0"/>
              <w:rPr>
                <w:sz w:val="20"/>
                <w:szCs w:val="20"/>
                <w:color w:val="auto"/>
              </w:rPr>
            </w:pPr>
            <w:r>
              <w:rPr>
                <w:rFonts w:ascii="Courier New" w:cs="Courier New" w:eastAsia="Courier New" w:hAnsi="Courier New"/>
                <w:sz w:val="3"/>
                <w:szCs w:val="3"/>
                <w:color w:val="auto"/>
                <w:w w:val="74"/>
              </w:rPr>
              <w:t>Revenue ........................................................................</w:t>
            </w: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440" w:type="dxa"/>
            <w:vAlign w:val="bottom"/>
          </w:tcPr>
          <w:p>
            <w:pPr>
              <w:spacing w:after="0"/>
              <w:rPr>
                <w:sz w:val="14"/>
                <w:szCs w:val="1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00" w:type="dxa"/>
            <w:vAlign w:val="bottom"/>
            <w:gridSpan w:val="4"/>
          </w:tcPr>
          <w:p>
            <w:pPr>
              <w:ind w:left="1700"/>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2580" w:type="dxa"/>
            <w:vAlign w:val="bottom"/>
            <w:gridSpan w:val="4"/>
          </w:tcPr>
          <w:p>
            <w:pPr>
              <w:spacing w:after="0"/>
              <w:rPr>
                <w:sz w:val="20"/>
                <w:szCs w:val="20"/>
                <w:color w:val="auto"/>
              </w:rPr>
            </w:pPr>
            <w:r>
              <w:rPr>
                <w:rFonts w:ascii="Courier New" w:cs="Courier New" w:eastAsia="Courier New" w:hAnsi="Courier New"/>
                <w:sz w:val="7"/>
                <w:szCs w:val="7"/>
                <w:color w:val="auto"/>
                <w:w w:val="76"/>
              </w:rPr>
              <w:t>Compensation costs .............................................................</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35.9</w:t>
            </w:r>
          </w:p>
        </w:tc>
        <w:tc>
          <w:tcPr>
            <w:tcW w:w="440" w:type="dxa"/>
            <w:vAlign w:val="bottom"/>
          </w:tcPr>
          <w:p>
            <w:pPr>
              <w:spacing w:after="0"/>
              <w:rPr>
                <w:sz w:val="24"/>
                <w:szCs w:val="2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36.1</w:t>
            </w:r>
          </w:p>
        </w:tc>
      </w:tr>
      <w:tr>
        <w:trPr>
          <w:trHeight w:val="172"/>
        </w:trPr>
        <w:tc>
          <w:tcPr>
            <w:tcW w:w="2580" w:type="dxa"/>
            <w:vAlign w:val="bottom"/>
            <w:gridSpan w:val="4"/>
          </w:tcPr>
          <w:p>
            <w:pPr>
              <w:spacing w:after="0"/>
              <w:rPr>
                <w:sz w:val="20"/>
                <w:szCs w:val="20"/>
                <w:color w:val="auto"/>
              </w:rPr>
            </w:pPr>
            <w:r>
              <w:rPr>
                <w:rFonts w:ascii="Courier New" w:cs="Courier New" w:eastAsia="Courier New" w:hAnsi="Courier New"/>
                <w:sz w:val="7"/>
                <w:szCs w:val="7"/>
                <w:color w:val="auto"/>
                <w:w w:val="76"/>
              </w:rPr>
              <w:t>Newsprint and ink ..............................................................</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9.4</w:t>
            </w:r>
          </w:p>
        </w:tc>
        <w:tc>
          <w:tcPr>
            <w:tcW w:w="44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w:t>
            </w:r>
          </w:p>
        </w:tc>
      </w:tr>
      <w:tr>
        <w:trPr>
          <w:trHeight w:val="172"/>
        </w:trPr>
        <w:tc>
          <w:tcPr>
            <w:tcW w:w="2220" w:type="dxa"/>
            <w:vAlign w:val="bottom"/>
            <w:gridSpan w:val="3"/>
          </w:tcPr>
          <w:p>
            <w:pPr>
              <w:spacing w:after="0"/>
              <w:rPr>
                <w:sz w:val="20"/>
                <w:szCs w:val="20"/>
                <w:color w:val="auto"/>
              </w:rPr>
            </w:pPr>
            <w:r>
              <w:rPr>
                <w:rFonts w:ascii="Courier New" w:cs="Courier New" w:eastAsia="Courier New" w:hAnsi="Courier New"/>
                <w:sz w:val="15"/>
                <w:szCs w:val="15"/>
                <w:color w:val="auto"/>
              </w:rPr>
              <w:t>Other operating expenses</w:t>
            </w:r>
          </w:p>
        </w:tc>
        <w:tc>
          <w:tcPr>
            <w:tcW w:w="10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0"/>
              </w:rPr>
              <w: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23.1</w:t>
            </w:r>
          </w:p>
        </w:tc>
        <w:tc>
          <w:tcPr>
            <w:tcW w:w="44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23.3</w:t>
            </w:r>
          </w:p>
        </w:tc>
      </w:tr>
      <w:tr>
        <w:trPr>
          <w:trHeight w:val="17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00" w:type="dxa"/>
            <w:vAlign w:val="bottom"/>
            <w:gridSpan w:val="4"/>
          </w:tcPr>
          <w:p>
            <w:pPr>
              <w:ind w:left="17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68.4</w:t>
            </w:r>
          </w:p>
        </w:tc>
        <w:tc>
          <w:tcPr>
            <w:tcW w:w="44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70.0</w:t>
            </w:r>
          </w:p>
        </w:tc>
      </w:tr>
      <w:tr>
        <w:trPr>
          <w:trHeight w:val="17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00" w:type="dxa"/>
            <w:vAlign w:val="bottom"/>
            <w:gridSpan w:val="4"/>
          </w:tcPr>
          <w:p>
            <w:pPr>
              <w:ind w:left="170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440" w:type="dxa"/>
            <w:vAlign w:val="bottom"/>
            <w:gridSpan w:val="8"/>
          </w:tcPr>
          <w:p>
            <w:pPr>
              <w:spacing w:after="0"/>
              <w:rPr>
                <w:sz w:val="20"/>
                <w:szCs w:val="20"/>
                <w:color w:val="auto"/>
              </w:rPr>
            </w:pPr>
            <w:r>
              <w:rPr>
                <w:rFonts w:ascii="Courier New" w:cs="Courier New" w:eastAsia="Courier New" w:hAnsi="Courier New"/>
                <w:sz w:val="15"/>
                <w:szCs w:val="15"/>
                <w:color w:val="auto"/>
              </w:rPr>
              <w:t>Income before depreciation, amortization, interest and taxes</w:t>
            </w:r>
          </w:p>
        </w:tc>
        <w:tc>
          <w:tcPr>
            <w:tcW w:w="2880" w:type="dxa"/>
            <w:vAlign w:val="bottom"/>
            <w:gridSpan w:val="2"/>
          </w:tcPr>
          <w:p>
            <w:pPr>
              <w:jc w:val="right"/>
              <w:ind w:right="1105"/>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31.6</w:t>
            </w:r>
          </w:p>
        </w:tc>
        <w:tc>
          <w:tcPr>
            <w:tcW w:w="440" w:type="dxa"/>
            <w:vAlign w:val="bottom"/>
          </w:tcPr>
          <w:p>
            <w:pPr>
              <w:spacing w:after="0"/>
              <w:rPr>
                <w:sz w:val="24"/>
                <w:szCs w:val="2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30.0</w:t>
            </w:r>
          </w:p>
        </w:tc>
      </w:tr>
      <w:tr>
        <w:trPr>
          <w:trHeight w:val="172"/>
        </w:trPr>
        <w:tc>
          <w:tcPr>
            <w:tcW w:w="2580" w:type="dxa"/>
            <w:vAlign w:val="bottom"/>
            <w:gridSpan w:val="4"/>
          </w:tcPr>
          <w:p>
            <w:pPr>
              <w:spacing w:after="0"/>
              <w:rPr>
                <w:sz w:val="20"/>
                <w:szCs w:val="20"/>
                <w:color w:val="auto"/>
              </w:rPr>
            </w:pPr>
            <w:r>
              <w:rPr>
                <w:rFonts w:ascii="Courier New" w:cs="Courier New" w:eastAsia="Courier New" w:hAnsi="Courier New"/>
                <w:sz w:val="15"/>
                <w:szCs w:val="15"/>
                <w:color w:val="auto"/>
                <w:w w:val="98"/>
              </w:rPr>
              <w:t>Depreciation and amortization</w:t>
            </w:r>
          </w:p>
        </w:tc>
        <w:tc>
          <w:tcPr>
            <w:tcW w:w="1340" w:type="dxa"/>
            <w:vAlign w:val="bottom"/>
            <w:gridSpan w:val="2"/>
          </w:tcPr>
          <w:p>
            <w:pPr>
              <w:ind w:left="100"/>
              <w:spacing w:after="0"/>
              <w:rPr>
                <w:sz w:val="20"/>
                <w:szCs w:val="20"/>
                <w:color w:val="auto"/>
              </w:rPr>
            </w:pPr>
            <w:r>
              <w:rPr>
                <w:rFonts w:ascii="Courier New" w:cs="Courier New" w:eastAsia="Courier New" w:hAnsi="Courier New"/>
                <w:sz w:val="5"/>
                <w:szCs w:val="5"/>
                <w:color w:val="auto"/>
                <w:w w:val="79"/>
              </w:rPr>
              <w:t>...................................................</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6.7</w:t>
            </w:r>
          </w:p>
        </w:tc>
        <w:tc>
          <w:tcPr>
            <w:tcW w:w="44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w:t>
            </w:r>
          </w:p>
        </w:tc>
      </w:tr>
      <w:tr>
        <w:trPr>
          <w:trHeight w:val="17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00" w:type="dxa"/>
            <w:vAlign w:val="bottom"/>
            <w:gridSpan w:val="4"/>
          </w:tcPr>
          <w:p>
            <w:pPr>
              <w:ind w:left="17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020" w:type="dxa"/>
            <w:vAlign w:val="bottom"/>
            <w:gridSpan w:val="7"/>
          </w:tcPr>
          <w:p>
            <w:pPr>
              <w:spacing w:after="0"/>
              <w:rPr>
                <w:sz w:val="20"/>
                <w:szCs w:val="20"/>
                <w:color w:val="auto"/>
              </w:rPr>
            </w:pPr>
            <w:r>
              <w:rPr>
                <w:rFonts w:ascii="Courier New" w:cs="Courier New" w:eastAsia="Courier New" w:hAnsi="Courier New"/>
                <w:sz w:val="11"/>
                <w:szCs w:val="11"/>
                <w:color w:val="auto"/>
                <w:w w:val="75"/>
              </w:rPr>
              <w:t>Operating margin wholly-owned properties .......................................</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w:t>
            </w:r>
          </w:p>
        </w:tc>
        <w:tc>
          <w:tcPr>
            <w:tcW w:w="440" w:type="dxa"/>
            <w:vAlign w:val="bottom"/>
          </w:tcPr>
          <w:p>
            <w:pPr>
              <w:spacing w:after="0"/>
              <w:rPr>
                <w:sz w:val="14"/>
                <w:szCs w:val="1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23.4%</w:t>
            </w:r>
          </w:p>
        </w:tc>
      </w:tr>
      <w:tr>
        <w:trPr>
          <w:trHeight w:val="172"/>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00" w:type="dxa"/>
            <w:vAlign w:val="bottom"/>
            <w:gridSpan w:val="4"/>
          </w:tcPr>
          <w:p>
            <w:pPr>
              <w:ind w:left="170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580" w:type="dxa"/>
            <w:vAlign w:val="bottom"/>
            <w:gridSpan w:val="4"/>
          </w:tcPr>
          <w:p>
            <w:pPr>
              <w:spacing w:after="0"/>
              <w:rPr>
                <w:sz w:val="20"/>
                <w:szCs w:val="20"/>
                <w:color w:val="auto"/>
              </w:rPr>
            </w:pPr>
            <w:r>
              <w:rPr>
                <w:rFonts w:ascii="Courier New" w:cs="Courier New" w:eastAsia="Courier New" w:hAnsi="Courier New"/>
                <w:sz w:val="15"/>
                <w:szCs w:val="15"/>
                <w:color w:val="auto"/>
              </w:rPr>
              <w:t>QUARTER ENDED MARCH 31, 1999</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Exclusive</w:t>
            </w: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of the effects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of</w:t>
            </w: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acquisitions,</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costs other than</w:t>
            </w:r>
          </w:p>
        </w:tc>
        <w:tc>
          <w:tcPr>
            <w:tcW w:w="2880" w:type="dxa"/>
            <w:vAlign w:val="bottom"/>
            <w:gridSpan w:val="2"/>
          </w:tcPr>
          <w:p>
            <w:pPr>
              <w:jc w:val="right"/>
              <w:ind w:right="1105"/>
              <w:spacing w:after="0"/>
              <w:rPr>
                <w:sz w:val="20"/>
                <w:szCs w:val="20"/>
                <w:color w:val="auto"/>
              </w:rPr>
            </w:pPr>
            <w:r>
              <w:rPr>
                <w:rFonts w:ascii="Courier New" w:cs="Courier New" w:eastAsia="Courier New" w:hAnsi="Courier New"/>
                <w:sz w:val="15"/>
                <w:szCs w:val="15"/>
                <w:color w:val="auto"/>
              </w:rPr>
              <w:t>depreciation  and</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amortization</w:t>
            </w:r>
          </w:p>
        </w:tc>
        <w:tc>
          <w:tcPr>
            <w:tcW w:w="1120" w:type="dxa"/>
            <w:vAlign w:val="bottom"/>
          </w:tcPr>
          <w:p>
            <w:pPr>
              <w:ind w:left="240"/>
              <w:spacing w:after="0"/>
              <w:rPr>
                <w:sz w:val="20"/>
                <w:szCs w:val="20"/>
                <w:color w:val="auto"/>
              </w:rPr>
            </w:pPr>
            <w:r>
              <w:rPr>
                <w:rFonts w:ascii="Courier New" w:cs="Courier New" w:eastAsia="Courier New" w:hAnsi="Courier New"/>
                <w:sz w:val="15"/>
                <w:szCs w:val="15"/>
                <w:color w:val="auto"/>
              </w:rPr>
              <w:t>increased</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$1,027,000,</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expense</w:t>
            </w:r>
          </w:p>
        </w:tc>
        <w:tc>
          <w:tcPr>
            <w:tcW w:w="1980" w:type="dxa"/>
            <w:vAlign w:val="bottom"/>
          </w:tcPr>
          <w:p>
            <w:pPr>
              <w:jc w:val="right"/>
              <w:ind w:right="1105"/>
              <w:spacing w:after="0"/>
              <w:rPr>
                <w:sz w:val="20"/>
                <w:szCs w:val="20"/>
                <w:color w:val="auto"/>
              </w:rPr>
            </w:pPr>
            <w:r>
              <w:rPr>
                <w:rFonts w:ascii="Courier New" w:cs="Courier New" w:eastAsia="Courier New" w:hAnsi="Courier New"/>
                <w:sz w:val="15"/>
                <w:szCs w:val="15"/>
                <w:color w:val="auto"/>
                <w:w w:val="96"/>
              </w:rPr>
              <w:t>increased</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$1,205,000,</w:t>
            </w:r>
          </w:p>
        </w:tc>
        <w:tc>
          <w:tcPr>
            <w:tcW w:w="120" w:type="dxa"/>
            <w:vAlign w:val="bottom"/>
          </w:tcPr>
          <w:p>
            <w:pPr>
              <w:spacing w:after="0"/>
              <w:rPr>
                <w:sz w:val="14"/>
                <w:szCs w:val="14"/>
                <w:color w:val="auto"/>
              </w:rPr>
            </w:pPr>
          </w:p>
        </w:tc>
        <w:tc>
          <w:tcPr>
            <w:tcW w:w="5240" w:type="dxa"/>
            <w:vAlign w:val="bottom"/>
            <w:gridSpan w:val="7"/>
          </w:tcPr>
          <w:p>
            <w:pPr>
              <w:jc w:val="right"/>
              <w:ind w:right="105"/>
              <w:spacing w:after="0"/>
              <w:rPr>
                <w:sz w:val="20"/>
                <w:szCs w:val="20"/>
                <w:color w:val="auto"/>
              </w:rPr>
            </w:pPr>
            <w:r>
              <w:rPr>
                <w:rFonts w:ascii="Courier New" w:cs="Courier New" w:eastAsia="Courier New" w:hAnsi="Courier New"/>
                <w:sz w:val="15"/>
                <w:szCs w:val="15"/>
                <w:color w:val="auto"/>
                <w:w w:val="99"/>
              </w:rPr>
              <w:t>3.7%, due primarily to increase in average compensation.</w:t>
            </w:r>
          </w:p>
        </w:tc>
        <w:tc>
          <w:tcPr>
            <w:tcW w:w="1980" w:type="dxa"/>
            <w:vAlign w:val="bottom"/>
          </w:tcPr>
          <w:p>
            <w:pPr>
              <w:jc w:val="right"/>
              <w:ind w:right="1105"/>
              <w:spacing w:after="0"/>
              <w:rPr>
                <w:sz w:val="20"/>
                <w:szCs w:val="20"/>
                <w:color w:val="auto"/>
              </w:rPr>
            </w:pPr>
            <w:r>
              <w:rPr>
                <w:rFonts w:ascii="Courier New" w:cs="Courier New" w:eastAsia="Courier New" w:hAnsi="Courier New"/>
                <w:sz w:val="15"/>
                <w:szCs w:val="15"/>
                <w:color w:val="auto"/>
                <w:w w:val="96"/>
              </w:rPr>
              <w:t>Newsprint</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gridSpan w:val="3"/>
          </w:tcPr>
          <w:p>
            <w:pPr>
              <w:spacing w:after="0"/>
              <w:rPr>
                <w:sz w:val="20"/>
                <w:szCs w:val="20"/>
                <w:color w:val="auto"/>
              </w:rPr>
            </w:pPr>
            <w:r>
              <w:rPr>
                <w:rFonts w:ascii="Courier New" w:cs="Courier New" w:eastAsia="Courier New" w:hAnsi="Courier New"/>
                <w:sz w:val="15"/>
                <w:szCs w:val="15"/>
                <w:color w:val="auto"/>
              </w:rPr>
              <w:t>and ink costs decreased</w:t>
            </w:r>
          </w:p>
        </w:tc>
        <w:tc>
          <w:tcPr>
            <w:tcW w:w="1080" w:type="dxa"/>
            <w:vAlign w:val="bottom"/>
            <w:gridSpan w:val="2"/>
          </w:tcPr>
          <w:p>
            <w:pPr>
              <w:jc w:val="right"/>
              <w:ind w:right="21"/>
              <w:spacing w:after="0"/>
              <w:rPr>
                <w:sz w:val="20"/>
                <w:szCs w:val="20"/>
                <w:color w:val="auto"/>
              </w:rPr>
            </w:pPr>
            <w:r>
              <w:rPr>
                <w:rFonts w:ascii="Courier New" w:cs="Courier New" w:eastAsia="Courier New" w:hAnsi="Courier New"/>
                <w:sz w:val="15"/>
                <w:szCs w:val="15"/>
                <w:color w:val="auto"/>
                <w:w w:val="98"/>
              </w:rPr>
              <w:t>$(616,000),</w:t>
            </w:r>
          </w:p>
        </w:tc>
        <w:tc>
          <w:tcPr>
            <w:tcW w:w="5020" w:type="dxa"/>
            <w:vAlign w:val="bottom"/>
            <w:gridSpan w:val="5"/>
          </w:tcPr>
          <w:p>
            <w:pPr>
              <w:jc w:val="right"/>
              <w:ind w:right="1105"/>
              <w:spacing w:after="0"/>
              <w:rPr>
                <w:sz w:val="20"/>
                <w:szCs w:val="20"/>
                <w:color w:val="auto"/>
              </w:rPr>
            </w:pPr>
            <w:r>
              <w:rPr>
                <w:rFonts w:ascii="Courier New" w:cs="Courier New" w:eastAsia="Courier New" w:hAnsi="Courier New"/>
                <w:sz w:val="15"/>
                <w:szCs w:val="15"/>
                <w:color w:val="auto"/>
              </w:rPr>
              <w:t>(6.4%), due primarily to lower prices paid</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8320" w:type="dxa"/>
            <w:vAlign w:val="bottom"/>
            <w:gridSpan w:val="10"/>
          </w:tcPr>
          <w:p>
            <w:pPr>
              <w:spacing w:after="0"/>
              <w:rPr>
                <w:sz w:val="20"/>
                <w:szCs w:val="20"/>
                <w:color w:val="auto"/>
              </w:rPr>
            </w:pPr>
            <w:r>
              <w:rPr>
                <w:rFonts w:ascii="Courier New" w:cs="Courier New" w:eastAsia="Courier New" w:hAnsi="Courier New"/>
                <w:sz w:val="15"/>
                <w:szCs w:val="15"/>
                <w:color w:val="auto"/>
              </w:rPr>
              <w:t>for newsprint.  Other operating costs exclusive of depreciation and amortization</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increased</w:t>
            </w:r>
          </w:p>
        </w:tc>
        <w:tc>
          <w:tcPr>
            <w:tcW w:w="1600" w:type="dxa"/>
            <w:vAlign w:val="bottom"/>
            <w:gridSpan w:val="3"/>
          </w:tcPr>
          <w:p>
            <w:pPr>
              <w:spacing w:after="0"/>
              <w:rPr>
                <w:sz w:val="20"/>
                <w:szCs w:val="20"/>
                <w:color w:val="auto"/>
              </w:rPr>
            </w:pPr>
            <w:r>
              <w:rPr>
                <w:rFonts w:ascii="Courier New" w:cs="Courier New" w:eastAsia="Courier New" w:hAnsi="Courier New"/>
                <w:sz w:val="15"/>
                <w:szCs w:val="15"/>
                <w:color w:val="auto"/>
              </w:rPr>
              <w:t>$438,000,  2.1%,</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due to higher</w:t>
            </w:r>
          </w:p>
        </w:tc>
        <w:tc>
          <w:tcPr>
            <w:tcW w:w="4400" w:type="dxa"/>
            <w:vAlign w:val="bottom"/>
            <w:gridSpan w:val="4"/>
          </w:tcPr>
          <w:p>
            <w:pPr>
              <w:jc w:val="right"/>
              <w:ind w:right="1105"/>
              <w:spacing w:after="0"/>
              <w:rPr>
                <w:sz w:val="20"/>
                <w:szCs w:val="20"/>
                <w:color w:val="auto"/>
              </w:rPr>
            </w:pPr>
            <w:r>
              <w:rPr>
                <w:rFonts w:ascii="Courier New" w:cs="Courier New" w:eastAsia="Courier New" w:hAnsi="Courier New"/>
                <w:sz w:val="15"/>
                <w:szCs w:val="15"/>
                <w:color w:val="auto"/>
                <w:w w:val="98"/>
              </w:rPr>
              <w:t>distribution  expense and other cost</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increases.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BROADCASTING</w:t>
      </w:r>
    </w:p>
    <w:p>
      <w:pPr>
        <w:spacing w:after="0" w:line="174" w:lineRule="exact"/>
        <w:rPr>
          <w:sz w:val="20"/>
          <w:szCs w:val="20"/>
          <w:color w:val="auto"/>
        </w:rPr>
      </w:pPr>
    </w:p>
    <w:p>
      <w:pPr>
        <w:spacing w:after="0"/>
        <w:tabs>
          <w:tab w:leader="none" w:pos="780" w:val="left"/>
          <w:tab w:leader="none" w:pos="1220" w:val="left"/>
          <w:tab w:leader="none" w:pos="1680" w:val="left"/>
          <w:tab w:leader="none" w:pos="2480" w:val="left"/>
          <w:tab w:leader="none" w:pos="3540" w:val="left"/>
          <w:tab w:leader="none" w:pos="4980" w:val="left"/>
          <w:tab w:leader="none" w:pos="5960" w:val="left"/>
          <w:tab w:leader="none" w:pos="6320" w:val="left"/>
        </w:tabs>
        <w:rPr>
          <w:sz w:val="20"/>
          <w:szCs w:val="20"/>
          <w:color w:val="auto"/>
        </w:rPr>
      </w:pPr>
      <w:r>
        <w:rPr>
          <w:rFonts w:ascii="Courier New" w:cs="Courier New" w:eastAsia="Courier New" w:hAnsi="Courier New"/>
          <w:sz w:val="15"/>
          <w:szCs w:val="15"/>
          <w:color w:val="auto"/>
        </w:rPr>
        <w:t>Revenue</w:t>
        <w:tab/>
        <w:t>for</w:t>
        <w:tab/>
        <w:t>the</w:t>
        <w:tab/>
        <w:t>quarter</w:t>
        <w:tab/>
        <w:t>decreased</w:t>
        <w:tab/>
        <w:t>$(3,875,000),</w:t>
        <w:tab/>
        <w:t>(12.5%),</w:t>
        <w:tab/>
        <w:t>as</w:t>
      </w:r>
      <w:r>
        <w:rPr>
          <w:sz w:val="20"/>
          <w:szCs w:val="20"/>
          <w:color w:val="auto"/>
        </w:rPr>
        <w:tab/>
      </w:r>
      <w:r>
        <w:rPr>
          <w:rFonts w:ascii="Courier New" w:cs="Courier New" w:eastAsia="Courier New" w:hAnsi="Courier New"/>
          <w:sz w:val="14"/>
          <w:szCs w:val="14"/>
          <w:color w:val="auto"/>
        </w:rPr>
        <w:t>political</w:t>
      </w:r>
    </w:p>
    <w:p>
      <w:pPr>
        <w:spacing w:after="0" w:line="4" w:lineRule="exact"/>
        <w:rPr>
          <w:sz w:val="20"/>
          <w:szCs w:val="20"/>
          <w:color w:val="auto"/>
        </w:rPr>
      </w:pPr>
    </w:p>
    <w:p>
      <w:pPr>
        <w:jc w:val="both"/>
        <w:ind w:right="3500"/>
        <w:spacing w:after="0" w:line="242" w:lineRule="auto"/>
        <w:rPr>
          <w:sz w:val="20"/>
          <w:szCs w:val="20"/>
          <w:color w:val="auto"/>
        </w:rPr>
      </w:pPr>
      <w:r>
        <w:rPr>
          <w:rFonts w:ascii="Courier New" w:cs="Courier New" w:eastAsia="Courier New" w:hAnsi="Courier New"/>
          <w:sz w:val="15"/>
          <w:szCs w:val="15"/>
          <w:color w:val="auto"/>
        </w:rPr>
        <w:t>advertising decreased $(112,000), (84.2%) and local/regional/national advertising decreased $(2,612,000), (9.9%), primarily due to the absence of the Winter Olympics advertising on our CBS-affiliates and the Super Bowl on our NBC-affiliates. Production revenue and revenues from other services decreased $(916,000), (32.4%), as a result of the discontinuance of certain production services and loss of NBA production during the strike. Advertising revenue growth may be unfavorably affected later in the year due to the absence of primary elections and increase in competitive conditions.</w:t>
      </w:r>
    </w:p>
    <w:p>
      <w:pPr>
        <w:sectPr>
          <w:pgSz w:w="11900" w:h="16838" w:orient="portrait"/>
          <w:cols w:equalWidth="0" w:num="1">
            <w:col w:w="10640"/>
          </w:cols>
          <w:pgMar w:left="240" w:top="461" w:right="1019" w:bottom="1440" w:gutter="0" w:footer="0" w:header="0"/>
        </w:sectPr>
      </w:pPr>
    </w:p>
    <w:bookmarkStart w:id="8" w:name="page9"/>
    <w:bookmarkEnd w:id="8"/>
    <w:p>
      <w:pPr>
        <w:jc w:val="both"/>
        <w:ind w:right="720"/>
        <w:spacing w:after="0"/>
        <w:rPr>
          <w:sz w:val="20"/>
          <w:szCs w:val="20"/>
          <w:color w:val="auto"/>
        </w:rPr>
      </w:pPr>
      <w:r>
        <w:rPr>
          <w:rFonts w:ascii="Courier New" w:cs="Courier New" w:eastAsia="Courier New" w:hAnsi="Courier New"/>
          <w:sz w:val="15"/>
          <w:szCs w:val="15"/>
          <w:color w:val="auto"/>
        </w:rPr>
        <w:t>The following table sets forth the percentage of revenue of certain items in the broadcasting segment.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Programming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operating expenses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500"/>
        <w:spacing w:after="0"/>
        <w:rPr>
          <w:sz w:val="20"/>
          <w:szCs w:val="20"/>
          <w:color w:val="auto"/>
        </w:rPr>
      </w:pPr>
      <w:r>
        <w:rPr>
          <w:rFonts w:ascii="Courier New" w:cs="Courier New" w:eastAsia="Courier New" w:hAnsi="Courier New"/>
          <w:sz w:val="15"/>
          <w:szCs w:val="15"/>
          <w:color w:val="auto"/>
        </w:rPr>
        <w:t>Income before depreciation, amortization, interest and taxes Depreciation and amortization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margin wholly-owned properties</w:t>
      </w:r>
    </w:p>
    <w:p>
      <w:pPr>
        <w:spacing w:after="0" w:line="348" w:lineRule="exact"/>
        <w:rPr>
          <w:sz w:val="20"/>
          <w:szCs w:val="20"/>
          <w:color w:val="auto"/>
        </w:rPr>
      </w:pPr>
    </w:p>
    <w:p>
      <w:pPr>
        <w:jc w:val="both"/>
        <w:ind w:right="720"/>
        <w:spacing w:after="0" w:line="263" w:lineRule="auto"/>
        <w:rPr>
          <w:sz w:val="20"/>
          <w:szCs w:val="20"/>
          <w:color w:val="auto"/>
        </w:rPr>
      </w:pPr>
      <w:r>
        <w:rPr>
          <w:rFonts w:ascii="Courier New" w:cs="Courier New" w:eastAsia="Courier New" w:hAnsi="Courier New"/>
          <w:sz w:val="14"/>
          <w:szCs w:val="14"/>
          <w:color w:val="auto"/>
        </w:rPr>
        <w:t>Compensation costs decreased $(478,000), (3.7%), due to decreases in incentive compensation and hours worked related to the reduced level of production services. Programming costs for the quarter increased $271,000, 13.1%, primarily due to accelerated amortization on new programming. Other operating expenses, exclusive of depreciation and amortization, increased $52,000, .7%, due to reduced costs related to production services which offset other cost increases.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COSTS</w:t>
      </w:r>
    </w:p>
    <w:p>
      <w:pPr>
        <w:spacing w:after="0" w:line="176" w:lineRule="exact"/>
        <w:rPr>
          <w:sz w:val="20"/>
          <w:szCs w:val="20"/>
          <w:color w:val="auto"/>
        </w:rPr>
      </w:pPr>
    </w:p>
    <w:p>
      <w:pPr>
        <w:jc w:val="both"/>
        <w:ind w:right="720"/>
        <w:spacing w:after="0"/>
        <w:rPr>
          <w:sz w:val="20"/>
          <w:szCs w:val="20"/>
          <w:color w:val="auto"/>
        </w:rPr>
      </w:pPr>
      <w:r>
        <w:rPr>
          <w:rFonts w:ascii="Courier New" w:cs="Courier New" w:eastAsia="Courier New" w:hAnsi="Courier New"/>
          <w:sz w:val="15"/>
          <w:szCs w:val="15"/>
          <w:color w:val="auto"/>
        </w:rPr>
        <w:t>Corporate costs increased by $777,000, 26.4%. The prior year period costs were lower due to one time cost reduction.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ENDED MARCH 31,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EXPENSE AND INCOME TAXES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decreased due to payments on long-term debt.</w:t>
      </w:r>
    </w:p>
    <w:p>
      <w:pPr>
        <w:spacing w:after="0" w:line="176" w:lineRule="exact"/>
        <w:rPr>
          <w:sz w:val="20"/>
          <w:szCs w:val="20"/>
          <w:color w:val="auto"/>
        </w:rPr>
      </w:pPr>
    </w:p>
    <w:p>
      <w:pPr>
        <w:jc w:val="both"/>
        <w:ind w:right="720"/>
        <w:spacing w:after="0"/>
        <w:rPr>
          <w:sz w:val="20"/>
          <w:szCs w:val="20"/>
          <w:color w:val="auto"/>
        </w:rPr>
      </w:pPr>
      <w:r>
        <w:rPr>
          <w:rFonts w:ascii="Courier New" w:cs="Courier New" w:eastAsia="Courier New" w:hAnsi="Courier New"/>
          <w:sz w:val="15"/>
          <w:szCs w:val="15"/>
          <w:color w:val="auto"/>
        </w:rPr>
        <w:t>Income taxes were 38.3% and 38.8% of pretax income for the quarters ended March 31, 1999 and 1998,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MARCH 31,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w:t>
      </w:r>
    </w:p>
    <w:p>
      <w:pPr>
        <w:spacing w:after="0" w:line="176" w:lineRule="exact"/>
        <w:rPr>
          <w:sz w:val="20"/>
          <w:szCs w:val="20"/>
          <w:color w:val="auto"/>
        </w:rPr>
      </w:pPr>
    </w:p>
    <w:p>
      <w:pPr>
        <w:jc w:val="both"/>
        <w:ind w:right="720"/>
        <w:spacing w:after="0" w:line="242" w:lineRule="auto"/>
        <w:rPr>
          <w:sz w:val="20"/>
          <w:szCs w:val="20"/>
          <w:color w:val="auto"/>
        </w:rPr>
      </w:pPr>
      <w:r>
        <w:rPr>
          <w:rFonts w:ascii="Courier New" w:cs="Courier New" w:eastAsia="Courier New" w:hAnsi="Courier New"/>
          <w:sz w:val="15"/>
          <w:szCs w:val="15"/>
          <w:color w:val="auto"/>
        </w:rPr>
        <w:t>Wholly-owned daily newspaper advertising revenue increased $5,490,000, 5.8%. Advertising revenue from local merchants increased $3,178,000, 5.8%. Local "run-of-press" advertising increased $2,553,000, 6.9%, as a result of a 6.4% increase in advertising inches. Local preprint revenue increased $625,000, 3.5%. Classified advertising revenue increased $1,349,000, 4.3%, as a result of higher averages rates and a 1% increase in advertising inches. The employment category was the biggest contributor to the increase.</w:t>
      </w:r>
    </w:p>
    <w:p>
      <w:pPr>
        <w:spacing w:after="0" w:line="5" w:lineRule="exact"/>
        <w:rPr>
          <w:sz w:val="20"/>
          <w:szCs w:val="20"/>
          <w:color w:val="auto"/>
        </w:rPr>
      </w:pPr>
    </w:p>
    <w:p>
      <w:pPr>
        <w:jc w:val="both"/>
        <w:ind w:right="720"/>
        <w:spacing w:after="0"/>
        <w:rPr>
          <w:sz w:val="20"/>
          <w:szCs w:val="20"/>
          <w:color w:val="auto"/>
        </w:rPr>
      </w:pPr>
      <w:r>
        <w:rPr>
          <w:rFonts w:ascii="Courier New" w:cs="Courier New" w:eastAsia="Courier New" w:hAnsi="Courier New"/>
          <w:sz w:val="15"/>
          <w:szCs w:val="15"/>
          <w:color w:val="auto"/>
        </w:rPr>
        <w:t>Circulation revenue was flat due to promotional pricing and minimal rate increases.</w:t>
      </w:r>
    </w:p>
    <w:p>
      <w:pPr>
        <w:spacing w:after="0" w:line="176" w:lineRule="exact"/>
        <w:rPr>
          <w:sz w:val="20"/>
          <w:szCs w:val="20"/>
          <w:color w:val="auto"/>
        </w:rPr>
      </w:pPr>
    </w:p>
    <w:p>
      <w:pPr>
        <w:jc w:val="both"/>
        <w:ind w:right="720"/>
        <w:spacing w:after="0" w:line="242" w:lineRule="auto"/>
        <w:rPr>
          <w:sz w:val="20"/>
          <w:szCs w:val="20"/>
          <w:color w:val="auto"/>
        </w:rPr>
      </w:pPr>
      <w:r>
        <w:rPr>
          <w:rFonts w:ascii="Courier New" w:cs="Courier New" w:eastAsia="Courier New" w:hAnsi="Courier New"/>
          <w:sz w:val="15"/>
          <w:szCs w:val="15"/>
          <w:color w:val="auto"/>
        </w:rPr>
        <w:t>Other revenue consists of revenue from weekly newspapers, classified and specialty publications, commercial printing, products delivered outside the newspaper (which include activities such as target marketing and special event production) and editorial service contracts with Madison Newspapers,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360"/>
        <w:spacing w:after="0"/>
        <w:tabs>
          <w:tab w:leader="none" w:pos="158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60"/>
        <w:spacing w:after="0"/>
        <w:tabs>
          <w:tab w:leader="none" w:pos="1500" w:val="left"/>
        </w:tabs>
        <w:rPr>
          <w:sz w:val="20"/>
          <w:szCs w:val="20"/>
          <w:color w:val="auto"/>
        </w:rPr>
      </w:pP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5"/>
          <w:szCs w:val="15"/>
          <w:color w:val="auto"/>
        </w:rPr>
        <w:t>100.0%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46.5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42.2</w:t>
            </w:r>
          </w:p>
        </w:tc>
      </w:tr>
      <w:tr>
        <w:trPr>
          <w:trHeight w:val="172"/>
        </w:trPr>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2"/>
        </w:trPr>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27.5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40"/>
        <w:spacing w:after="0"/>
        <w:tabs>
          <w:tab w:leader="none" w:pos="1580" w:val="left"/>
        </w:tabs>
        <w:rPr>
          <w:sz w:val="20"/>
          <w:szCs w:val="20"/>
          <w:color w:val="auto"/>
        </w:rPr>
      </w:pPr>
      <w:r>
        <w:rPr>
          <w:rFonts w:ascii="Courier New" w:cs="Courier New" w:eastAsia="Courier New" w:hAnsi="Courier New"/>
          <w:sz w:val="15"/>
          <w:szCs w:val="15"/>
          <w:color w:val="auto"/>
        </w:rPr>
        <w:t>82.7</w:t>
      </w:r>
      <w:r>
        <w:rPr>
          <w:sz w:val="20"/>
          <w:szCs w:val="20"/>
          <w:color w:val="auto"/>
        </w:rPr>
        <w:tab/>
      </w:r>
      <w:r>
        <w:rPr>
          <w:rFonts w:ascii="Courier New" w:cs="Courier New" w:eastAsia="Courier New" w:hAnsi="Courier New"/>
          <w:sz w:val="15"/>
          <w:szCs w:val="15"/>
          <w:color w:val="auto"/>
        </w:rPr>
        <w:t>72.9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17.3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2"/>
        </w:trPr>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10.4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40"/>
        <w:spacing w:after="0"/>
        <w:tabs>
          <w:tab w:leader="none" w:pos="158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18.0%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860" w:space="720"/>
            <w:col w:w="2320"/>
          </w:cols>
          <w:pgMar w:left="240" w:top="463" w:right="75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Other revenue by category and by property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Weekly newspapers, classified and specialty publications: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Properties owned for entire period</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Acquired since September 30,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printing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delivered outside the newspaper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Editorial service contracts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MARCH 31, 1999</w:t>
      </w:r>
    </w:p>
    <w:p>
      <w:pPr>
        <w:spacing w:after="0" w:line="176" w:lineRule="exact"/>
        <w:rPr>
          <w:sz w:val="20"/>
          <w:szCs w:val="20"/>
          <w:color w:val="auto"/>
        </w:rPr>
      </w:pPr>
    </w:p>
    <w:p>
      <w:pPr>
        <w:jc w:val="both"/>
        <w:ind w:right="100"/>
        <w:spacing w:after="0"/>
        <w:rPr>
          <w:sz w:val="20"/>
          <w:szCs w:val="20"/>
          <w:color w:val="auto"/>
        </w:rPr>
      </w:pPr>
      <w:r>
        <w:rPr>
          <w:rFonts w:ascii="Courier New" w:cs="Courier New" w:eastAsia="Courier New" w:hAnsi="Courier New"/>
          <w:sz w:val="15"/>
          <w:szCs w:val="15"/>
          <w:color w:val="auto"/>
        </w:rPr>
        <w:t>The following table sets forth the percentage of revenue of certain items in the publishing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Newsprint and ink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operating expenses</w:t>
      </w:r>
    </w:p>
    <w:p>
      <w:pPr>
        <w:spacing w:after="0" w:line="200" w:lineRule="exact"/>
        <w:rPr>
          <w:sz w:val="20"/>
          <w:szCs w:val="20"/>
          <w:color w:val="auto"/>
        </w:rPr>
      </w:pPr>
    </w:p>
    <w:p>
      <w:pPr>
        <w:spacing w:after="0" w:line="320" w:lineRule="exact"/>
        <w:rPr>
          <w:sz w:val="20"/>
          <w:szCs w:val="20"/>
          <w:color w:val="auto"/>
        </w:rPr>
      </w:pPr>
    </w:p>
    <w:p>
      <w:pPr>
        <w:ind w:right="1880"/>
        <w:spacing w:after="0"/>
        <w:rPr>
          <w:sz w:val="20"/>
          <w:szCs w:val="20"/>
          <w:color w:val="auto"/>
        </w:rPr>
      </w:pPr>
      <w:r>
        <w:rPr>
          <w:rFonts w:ascii="Courier New" w:cs="Courier New" w:eastAsia="Courier New" w:hAnsi="Courier New"/>
          <w:sz w:val="15"/>
          <w:szCs w:val="15"/>
          <w:color w:val="auto"/>
        </w:rPr>
        <w:t>Income before depreciation, amortization, interest and taxes Depreciation and amortization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margin wholly-owned properties</w:t>
      </w:r>
    </w:p>
    <w:p>
      <w:pPr>
        <w:spacing w:after="0" w:line="348" w:lineRule="exact"/>
        <w:rPr>
          <w:sz w:val="20"/>
          <w:szCs w:val="20"/>
          <w:color w:val="auto"/>
        </w:rPr>
      </w:pPr>
    </w:p>
    <w:p>
      <w:pPr>
        <w:jc w:val="both"/>
        <w:ind w:right="100"/>
        <w:spacing w:after="0" w:line="242" w:lineRule="auto"/>
        <w:rPr>
          <w:sz w:val="20"/>
          <w:szCs w:val="20"/>
          <w:color w:val="auto"/>
        </w:rPr>
      </w:pPr>
      <w:r>
        <w:rPr>
          <w:rFonts w:ascii="Courier New" w:cs="Courier New" w:eastAsia="Courier New" w:hAnsi="Courier New"/>
          <w:sz w:val="15"/>
          <w:szCs w:val="15"/>
          <w:color w:val="auto"/>
        </w:rPr>
        <w:t>Exclusive of the effects of acquisitions, costs other than depreciation and amortization increased $5,065,000, 3.9%. Compensation expense increased $3,622,000, 5.5%, due primarily to increase in average compensation. Newsprint and ink costs decreased $(467,000), (2.3%), due primarily to lower prices paid for newsprint. Other operating costs exclusive of depreciation and amortization increased $1,910,000, 4.5%, due to higher distribution expenses and other cost increases.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BROADCASTING</w:t>
      </w:r>
    </w:p>
    <w:p>
      <w:pPr>
        <w:spacing w:after="0" w:line="176" w:lineRule="exact"/>
        <w:rPr>
          <w:sz w:val="20"/>
          <w:szCs w:val="20"/>
          <w:color w:val="auto"/>
        </w:rPr>
      </w:pPr>
    </w:p>
    <w:p>
      <w:pPr>
        <w:ind w:right="100"/>
        <w:spacing w:after="0" w:line="242" w:lineRule="auto"/>
        <w:rPr>
          <w:sz w:val="20"/>
          <w:szCs w:val="20"/>
          <w:color w:val="auto"/>
        </w:rPr>
      </w:pPr>
      <w:r>
        <w:rPr>
          <w:rFonts w:ascii="Courier New" w:cs="Courier New" w:eastAsia="Courier New" w:hAnsi="Courier New"/>
          <w:sz w:val="15"/>
          <w:szCs w:val="15"/>
          <w:color w:val="auto"/>
        </w:rPr>
        <w:t>Revenue increased $460,000, .7%, political advertising increased $4,925,000, 759.4% while local/regional/national advertising decreased $(2,610,000), (4.9%), primarily due to the absence of the Winter Olympics advertising on our CBS-affiliates and the Super Bowl on our NBC-affiliates in the second quarter. Production revenue and revenues from other services decreased $(1,284,000), (25.0%), as a result of the discontinuance of certain production services and loss of NBA production during the strike.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440"/>
        <w:spacing w:after="0"/>
        <w:tabs>
          <w:tab w:leader="none" w:pos="18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 Thousands)</w:t>
            </w:r>
          </w:p>
        </w:tc>
        <w:tc>
          <w:tcPr>
            <w:tcW w:w="640" w:type="dxa"/>
            <w:vAlign w:val="bottom"/>
          </w:tcPr>
          <w:p>
            <w:pPr>
              <w:spacing w:after="0"/>
              <w:rPr>
                <w:sz w:val="14"/>
                <w:szCs w:val="14"/>
                <w:color w:val="auto"/>
              </w:rPr>
            </w:pPr>
          </w:p>
        </w:tc>
      </w:tr>
      <w:tr>
        <w:trPr>
          <w:trHeight w:val="688"/>
        </w:trPr>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  34,662</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33,199</w:t>
            </w:r>
          </w:p>
        </w:tc>
      </w:tr>
      <w:tr>
        <w:trPr>
          <w:trHeight w:val="172"/>
        </w:trPr>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4,370</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2"/>
        </w:trPr>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7,952</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7,180</w:t>
            </w:r>
          </w:p>
        </w:tc>
      </w:tr>
      <w:tr>
        <w:trPr>
          <w:trHeight w:val="172"/>
        </w:trPr>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5,939</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5,409</w:t>
            </w:r>
          </w:p>
        </w:tc>
      </w:tr>
      <w:tr>
        <w:trPr>
          <w:trHeight w:val="172"/>
        </w:trPr>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4,593</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4,502</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0"/>
        <w:spacing w:after="0"/>
        <w:tabs>
          <w:tab w:leader="none" w:pos="500" w:val="left"/>
          <w:tab w:leader="none" w:pos="1860" w:val="left"/>
          <w:tab w:leader="none" w:pos="2120" w:val="left"/>
        </w:tabs>
        <w:rPr>
          <w:sz w:val="20"/>
          <w:szCs w:val="20"/>
          <w:color w:val="auto"/>
        </w:rPr>
      </w:pPr>
      <w:r>
        <w:rPr>
          <w:rFonts w:ascii="Courier New" w:cs="Courier New" w:eastAsia="Courier New" w:hAnsi="Courier New"/>
          <w:sz w:val="15"/>
          <w:szCs w:val="15"/>
          <w:color w:val="auto"/>
        </w:rPr>
        <w:t>$</w:t>
        <w:tab/>
        <w:t>57,516</w:t>
      </w:r>
      <w:r>
        <w:rPr>
          <w:sz w:val="20"/>
          <w:szCs w:val="20"/>
          <w:color w:val="auto"/>
        </w:rPr>
        <w:tab/>
      </w:r>
      <w:r>
        <w:rPr>
          <w:rFonts w:ascii="Courier New" w:cs="Courier New" w:eastAsia="Courier New" w:hAnsi="Courier New"/>
          <w:sz w:val="15"/>
          <w:szCs w:val="15"/>
          <w:color w:val="auto"/>
        </w:rPr>
        <w:t>$</w:t>
        <w:tab/>
        <w:t>50,396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00"/>
        <w:spacing w:after="0"/>
        <w:tabs>
          <w:tab w:leader="none" w:pos="194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700"/>
        <w:spacing w:after="0"/>
        <w:tabs>
          <w:tab w:leader="none" w:pos="1940" w:val="left"/>
        </w:tabs>
        <w:rPr>
          <w:sz w:val="20"/>
          <w:szCs w:val="20"/>
          <w:color w:val="auto"/>
        </w:rPr>
      </w:pP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5"/>
          <w:szCs w:val="15"/>
          <w:color w:val="auto"/>
        </w:rPr>
        <w:t>100.0%</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34.8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r>
      <w:tr>
        <w:trPr>
          <w:trHeight w:val="172"/>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2"/>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22.8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bl>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00"/>
        <w:spacing w:after="0"/>
        <w:tabs>
          <w:tab w:leader="none" w:pos="2020" w:val="left"/>
        </w:tabs>
        <w:rPr>
          <w:sz w:val="20"/>
          <w:szCs w:val="20"/>
          <w:color w:val="auto"/>
        </w:rPr>
      </w:pPr>
      <w:r>
        <w:rPr>
          <w:rFonts w:ascii="Courier New" w:cs="Courier New" w:eastAsia="Courier New" w:hAnsi="Courier New"/>
          <w:sz w:val="15"/>
          <w:szCs w:val="15"/>
          <w:color w:val="auto"/>
        </w:rPr>
        <w:t>67.4</w:t>
      </w:r>
      <w:r>
        <w:rPr>
          <w:sz w:val="20"/>
          <w:szCs w:val="20"/>
          <w:color w:val="auto"/>
        </w:rPr>
        <w:tab/>
      </w:r>
      <w:r>
        <w:rPr>
          <w:rFonts w:ascii="Courier New" w:cs="Courier New" w:eastAsia="Courier New" w:hAnsi="Courier New"/>
          <w:sz w:val="15"/>
          <w:szCs w:val="15"/>
          <w:color w:val="auto"/>
        </w:rPr>
        <w:t>67.5</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32.6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72"/>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bl>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00"/>
        <w:spacing w:after="0"/>
        <w:tabs>
          <w:tab w:leader="none" w:pos="2020" w:val="left"/>
        </w:tabs>
        <w:rPr>
          <w:sz w:val="20"/>
          <w:szCs w:val="20"/>
          <w:color w:val="auto"/>
        </w:rPr>
      </w:pPr>
      <w:r>
        <w:rPr>
          <w:rFonts w:ascii="Courier New" w:cs="Courier New" w:eastAsia="Courier New" w:hAnsi="Courier New"/>
          <w:sz w:val="15"/>
          <w:szCs w:val="15"/>
          <w:color w:val="auto"/>
        </w:rPr>
        <w:t>26.3%</w:t>
      </w:r>
      <w:r>
        <w:rPr>
          <w:sz w:val="20"/>
          <w:szCs w:val="20"/>
          <w:color w:val="auto"/>
        </w:rPr>
        <w:tab/>
      </w:r>
      <w:r>
        <w:rPr>
          <w:rFonts w:ascii="Courier New" w:cs="Courier New" w:eastAsia="Courier New" w:hAnsi="Courier New"/>
          <w:sz w:val="15"/>
          <w:szCs w:val="15"/>
          <w:color w:val="auto"/>
        </w:rPr>
        <w:t>26.1%</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240" w:space="720"/>
            <w:col w:w="2940"/>
          </w:cols>
          <w:pgMar w:left="240" w:top="461" w:right="759" w:bottom="1440" w:gutter="0" w:footer="0" w:header="0"/>
        </w:sectPr>
      </w:pPr>
    </w:p>
    <w:bookmarkStart w:id="10" w:name="page11"/>
    <w:bookmarkEnd w:id="10"/>
    <w:p>
      <w:pPr>
        <w:jc w:val="both"/>
        <w:ind w:right="180"/>
        <w:spacing w:after="0"/>
        <w:rPr>
          <w:sz w:val="20"/>
          <w:szCs w:val="20"/>
          <w:color w:val="auto"/>
        </w:rPr>
      </w:pPr>
      <w:r>
        <w:rPr>
          <w:rFonts w:ascii="Courier New" w:cs="Courier New" w:eastAsia="Courier New" w:hAnsi="Courier New"/>
          <w:sz w:val="15"/>
          <w:szCs w:val="15"/>
          <w:color w:val="auto"/>
        </w:rPr>
        <w:t>The following table sets forth the percentage of revenue of certain items in the broadcasting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Programming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operating expenses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960"/>
        <w:spacing w:after="0"/>
        <w:rPr>
          <w:sz w:val="20"/>
          <w:szCs w:val="20"/>
          <w:color w:val="auto"/>
        </w:rPr>
      </w:pPr>
      <w:r>
        <w:rPr>
          <w:rFonts w:ascii="Courier New" w:cs="Courier New" w:eastAsia="Courier New" w:hAnsi="Courier New"/>
          <w:sz w:val="15"/>
          <w:szCs w:val="15"/>
          <w:color w:val="auto"/>
        </w:rPr>
        <w:t>Income before depreciation, amortization, interest and taxes Depreciation and amortization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margin wholly-owned properties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MARCH 31,1999.</w:t>
      </w:r>
    </w:p>
    <w:p>
      <w:pPr>
        <w:spacing w:after="0" w:line="348" w:lineRule="exact"/>
        <w:rPr>
          <w:sz w:val="20"/>
          <w:szCs w:val="20"/>
          <w:color w:val="auto"/>
        </w:rPr>
      </w:pPr>
    </w:p>
    <w:p>
      <w:pPr>
        <w:jc w:val="both"/>
        <w:ind w:right="180"/>
        <w:spacing w:after="0" w:line="242" w:lineRule="auto"/>
        <w:rPr>
          <w:sz w:val="20"/>
          <w:szCs w:val="20"/>
          <w:color w:val="auto"/>
        </w:rPr>
      </w:pPr>
      <w:r>
        <w:rPr>
          <w:rFonts w:ascii="Courier New" w:cs="Courier New" w:eastAsia="Courier New" w:hAnsi="Courier New"/>
          <w:sz w:val="15"/>
          <w:szCs w:val="15"/>
          <w:color w:val="auto"/>
        </w:rPr>
        <w:t>Compensation costs were flat as higher average rates were offset by a reduction in the hours worked related to production services and to a lesser extent reductions in incentive compensation. Programming costs for the period increased $409,000, 9.5%, primarily due to accelerated amortization on new programming. Other operating expenses, exclusive of depreciation and amortization, decreased $(339,000), (2.2%) due to a reduced level of production services which offset other cost increases.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COSTS</w:t>
      </w:r>
    </w:p>
    <w:p>
      <w:pPr>
        <w:spacing w:after="0" w:line="176" w:lineRule="exact"/>
        <w:rPr>
          <w:sz w:val="20"/>
          <w:szCs w:val="20"/>
          <w:color w:val="auto"/>
        </w:rPr>
      </w:pPr>
    </w:p>
    <w:p>
      <w:pPr>
        <w:jc w:val="both"/>
        <w:ind w:right="180"/>
        <w:spacing w:after="0"/>
        <w:rPr>
          <w:sz w:val="20"/>
          <w:szCs w:val="20"/>
          <w:color w:val="auto"/>
        </w:rPr>
      </w:pPr>
      <w:r>
        <w:rPr>
          <w:rFonts w:ascii="Courier New" w:cs="Courier New" w:eastAsia="Courier New" w:hAnsi="Courier New"/>
          <w:sz w:val="15"/>
          <w:szCs w:val="15"/>
          <w:color w:val="auto"/>
        </w:rPr>
        <w:t>Corporate costs increased by $869,000, 12.2%. The increase occurred in the second quarter as previously discussed.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EXPENSE AND INCOME TAXES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decreased due to payments on long-term debt.</w:t>
      </w:r>
    </w:p>
    <w:p>
      <w:pPr>
        <w:spacing w:after="0" w:line="176" w:lineRule="exact"/>
        <w:rPr>
          <w:sz w:val="20"/>
          <w:szCs w:val="20"/>
          <w:color w:val="auto"/>
        </w:rPr>
      </w:pPr>
    </w:p>
    <w:p>
      <w:pPr>
        <w:jc w:val="both"/>
        <w:ind w:right="180"/>
        <w:spacing w:after="0"/>
        <w:rPr>
          <w:sz w:val="20"/>
          <w:szCs w:val="20"/>
          <w:color w:val="auto"/>
        </w:rPr>
      </w:pPr>
      <w:r>
        <w:rPr>
          <w:rFonts w:ascii="Courier New" w:cs="Courier New" w:eastAsia="Courier New" w:hAnsi="Courier New"/>
          <w:sz w:val="15"/>
          <w:szCs w:val="15"/>
          <w:color w:val="auto"/>
        </w:rPr>
        <w:t>Income taxes were 38.2% and 38.6% of pretax income for the six months ended March 31, 1999 and 1998,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jc w:val="both"/>
        <w:ind w:right="180"/>
        <w:spacing w:after="0" w:line="242" w:lineRule="auto"/>
        <w:rPr>
          <w:sz w:val="20"/>
          <w:szCs w:val="20"/>
          <w:color w:val="auto"/>
        </w:rPr>
      </w:pPr>
      <w:r>
        <w:rPr>
          <w:rFonts w:ascii="Courier New" w:cs="Courier New" w:eastAsia="Courier New" w:hAnsi="Courier New"/>
          <w:sz w:val="15"/>
          <w:szCs w:val="15"/>
          <w:color w:val="auto"/>
        </w:rPr>
        <w:t>Cash provided by operations, which is the Company's primary source of liquidity, generated $51,256,000 for the six month period ended March 31, 1999. Available cash balances, cash flow from operations, and a $50,000,000 bank line of credit provide adequate liquidity. Covenants related to the Company's credit agreement are not considered restrictive to operations and anticipated stockholder dividends.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6" w:lineRule="exact"/>
        <w:rPr>
          <w:sz w:val="20"/>
          <w:szCs w:val="20"/>
          <w:color w:val="auto"/>
        </w:rPr>
      </w:pPr>
    </w:p>
    <w:p>
      <w:pPr>
        <w:jc w:val="both"/>
        <w:ind w:right="180"/>
        <w:spacing w:after="0" w:line="242" w:lineRule="auto"/>
        <w:rPr>
          <w:sz w:val="20"/>
          <w:szCs w:val="20"/>
          <w:color w:val="auto"/>
        </w:rPr>
      </w:pPr>
      <w:r>
        <w:rPr>
          <w:rFonts w:ascii="Courier New" w:cs="Courier New" w:eastAsia="Courier New" w:hAnsi="Courier New"/>
          <w:sz w:val="15"/>
          <w:szCs w:val="15"/>
          <w:color w:val="auto"/>
        </w:rPr>
        <w:t>The Year 2000 issue concerns the inability of information technology (IT) systems and equipment utilizing microprocessors to recognize and process date-sensitive information after 1999 due to the use of only the last two digits to refer to a year. This problem could affect both computer software and hardware and other equipment that relies on microprocessors. Management has completed a company-wide evaluation of this impact on its IT systems and its date-sensitive publishing equipment. The evaluation of critical broadcasting equipment is continuing. Year 2000 software updates for identified critical date-sensitive broadcasting equipment have been obtained and will be tested by June 30, 1999. Broadcasting equipment is believed to be 80% tested and Year 2000 compliant. Renovation and testing have been completed on all significant IT systems that utilize company-developed software that were not Year 2000 compliant. The Company has received representations and completed testing to determine that significant software developed by others is Year 2000 compliant. Installation of a new Year 2000-compliant financial system is approximately 90% complete and is planned to be complete by July 31, 1999. Testing of computer hardware for IT systems is approximately 90% complete. Renovation efforts and testing of systems/equipment are expected to be complete by June 30,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spacing w:after="0"/>
        <w:tabs>
          <w:tab w:leader="none" w:pos="150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60"/>
        <w:spacing w:after="0"/>
        <w:tabs>
          <w:tab w:leader="none" w:pos="1500" w:val="left"/>
        </w:tabs>
        <w:rPr>
          <w:sz w:val="20"/>
          <w:szCs w:val="20"/>
          <w:color w:val="auto"/>
        </w:rPr>
      </w:pP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5"/>
          <w:szCs w:val="15"/>
          <w:color w:val="auto"/>
        </w:rPr>
        <w:t>100.0%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w:t>
            </w: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w:t>
            </w: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3"/>
              </w:rPr>
              <w:t>23 .8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40"/>
        <w:spacing w:after="0"/>
        <w:tabs>
          <w:tab w:leader="none" w:pos="1680" w:val="left"/>
        </w:tabs>
        <w:rPr>
          <w:sz w:val="20"/>
          <w:szCs w:val="20"/>
          <w:color w:val="auto"/>
        </w:rPr>
      </w:pPr>
      <w:r>
        <w:rPr>
          <w:rFonts w:ascii="Courier New" w:cs="Courier New" w:eastAsia="Courier New" w:hAnsi="Courier New"/>
          <w:sz w:val="15"/>
          <w:szCs w:val="15"/>
          <w:color w:val="auto"/>
        </w:rPr>
        <w:t>72.5</w:t>
      </w:r>
      <w:r>
        <w:rPr>
          <w:sz w:val="20"/>
          <w:szCs w:val="20"/>
          <w:color w:val="auto"/>
        </w:rPr>
        <w:tab/>
      </w:r>
      <w:r>
        <w:rPr>
          <w:rFonts w:ascii="Courier New" w:cs="Courier New" w:eastAsia="Courier New" w:hAnsi="Courier New"/>
          <w:sz w:val="15"/>
          <w:szCs w:val="15"/>
          <w:color w:val="auto"/>
        </w:rPr>
        <w:t>73.0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27.5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r>
      <w:tr>
        <w:trPr>
          <w:trHeight w:val="172"/>
        </w:trPr>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40"/>
        <w:spacing w:after="0"/>
        <w:tabs>
          <w:tab w:leader="none" w:pos="1680" w:val="left"/>
        </w:tabs>
        <w:rPr>
          <w:sz w:val="20"/>
          <w:szCs w:val="20"/>
          <w:color w:val="auto"/>
        </w:rPr>
      </w:pPr>
      <w:r>
        <w:rPr>
          <w:rFonts w:ascii="Courier New" w:cs="Courier New" w:eastAsia="Courier New" w:hAnsi="Courier New"/>
          <w:sz w:val="15"/>
          <w:szCs w:val="15"/>
          <w:color w:val="auto"/>
        </w:rPr>
        <w:t>18.6%</w:t>
      </w:r>
      <w:r>
        <w:rPr>
          <w:sz w:val="20"/>
          <w:szCs w:val="20"/>
          <w:color w:val="auto"/>
        </w:rPr>
        <w:tab/>
      </w:r>
      <w:r>
        <w:rPr>
          <w:rFonts w:ascii="Courier New" w:cs="Courier New" w:eastAsia="Courier New" w:hAnsi="Courier New"/>
          <w:sz w:val="14"/>
          <w:szCs w:val="14"/>
          <w:color w:val="auto"/>
        </w:rPr>
        <w:t>18.1%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320" w:space="720"/>
            <w:col w:w="2320"/>
          </w:cols>
          <w:pgMar w:left="240" w:top="463" w:right="1299" w:bottom="1440" w:gutter="0" w:footer="0" w:header="0"/>
        </w:sectPr>
      </w:pPr>
    </w:p>
    <w:bookmarkStart w:id="11" w:name="page12"/>
    <w:bookmarkEnd w:id="11"/>
    <w:p>
      <w:pPr>
        <w:jc w:val="both"/>
        <w:ind w:right="3079"/>
        <w:spacing w:after="0" w:line="242" w:lineRule="auto"/>
        <w:rPr>
          <w:sz w:val="20"/>
          <w:szCs w:val="20"/>
          <w:color w:val="auto"/>
        </w:rPr>
      </w:pPr>
      <w:r>
        <w:rPr>
          <w:rFonts w:ascii="Courier New" w:cs="Courier New" w:eastAsia="Courier New" w:hAnsi="Courier New"/>
          <w:sz w:val="15"/>
          <w:szCs w:val="15"/>
          <w:color w:val="auto"/>
        </w:rPr>
        <w:t>The Company will monitor the progress of material vendors and suppliers whose uninterrupted delivery of product or service is material to the production or distribution of our print and broadcast products in their efforts to become Year 2000 compliant. Material vendors and suppliers include electric utilities, telecommunications, news and content providers, television networks, other television programming suppliers, the U.S. Postal Service, and financial institutions.</w:t>
      </w:r>
    </w:p>
    <w:p>
      <w:pPr>
        <w:spacing w:after="0" w:line="177"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From September 30, 1994 through March 31, 1999, the Company has spent approximately $500,000 to address Year 2000 issues for IT systems (exclusive of the cost of the new financial, newspaper production and other systems that were scheduled to be replaced before the year 2000 for reasons other than Year 2000 compliance). Total costs to address Year 2000 issues for IT systems are currently estimated to be less than $1,000,000 and consist primarily of staff and consultant costs. Year 2000 remediation will require the replacement of telephone switches and software at a cost of $600,000 to $1,000,000. Through March 31, 1999 approximately $300,000 had been spent for new telephone equipment. Funds for these costs are expected to be provided by the operating cash flows or bank line of credit of the Company.</w:t>
      </w:r>
    </w:p>
    <w:p>
      <w:pPr>
        <w:spacing w:after="0" w:line="179" w:lineRule="exact"/>
        <w:rPr>
          <w:sz w:val="20"/>
          <w:szCs w:val="20"/>
          <w:color w:val="auto"/>
        </w:rPr>
      </w:pPr>
    </w:p>
    <w:p>
      <w:pPr>
        <w:jc w:val="both"/>
        <w:ind w:right="3079"/>
        <w:spacing w:after="0" w:line="261" w:lineRule="auto"/>
        <w:rPr>
          <w:sz w:val="20"/>
          <w:szCs w:val="20"/>
          <w:color w:val="auto"/>
        </w:rPr>
      </w:pPr>
      <w:r>
        <w:rPr>
          <w:rFonts w:ascii="Courier New" w:cs="Courier New" w:eastAsia="Courier New" w:hAnsi="Courier New"/>
          <w:sz w:val="14"/>
          <w:szCs w:val="14"/>
          <w:color w:val="auto"/>
        </w:rPr>
        <w:t>The Company could be faced with severe consequences if Year 2000 issues are not identified and resolved in a timely manner by the Company and material third parties. A worst-case scenario would result in the short-term inability of the Company to produce/distribute newspapers or broadcast television programming due to unresolved Year 2000 issues. This would result in lost revenues; however, the amount would be dependent on the length and nature of the disruption, which cannot be predicted or estimated. In light of the possible consequences, the Company is devoting the resources needed to address Year 2000 issues in a timely manner. Management monitors the progress of the Company's Year 2000 efforts and provides update reports to the audit committee of the Board of Directors at each meeting. While management expects a successful resolution of these issues, there can be no guarantee that material third parties, on which the Company relies, will address all Year 2000 issues on a timely basis or that their failure to successfully address all issues would not have an adverse effect on the Company.</w:t>
      </w:r>
    </w:p>
    <w:p>
      <w:pPr>
        <w:spacing w:after="0" w:line="16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The Company is in the process of reviewing its existing contingency plans in case business interruptions do occur. Management expects the review of these plans to be complete by June 30,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STATEMENT</w:t>
      </w:r>
    </w:p>
    <w:p>
      <w:pPr>
        <w:spacing w:after="0" w:line="176" w:lineRule="exact"/>
        <w:rPr>
          <w:sz w:val="20"/>
          <w:szCs w:val="20"/>
          <w:color w:val="auto"/>
        </w:rPr>
      </w:pPr>
    </w:p>
    <w:p>
      <w:pPr>
        <w:jc w:val="both"/>
        <w:ind w:right="3079"/>
        <w:spacing w:after="0" w:line="261" w:lineRule="auto"/>
        <w:rPr>
          <w:sz w:val="20"/>
          <w:szCs w:val="20"/>
          <w:color w:val="auto"/>
        </w:rPr>
      </w:pPr>
      <w:r>
        <w:rPr>
          <w:rFonts w:ascii="Courier New" w:cs="Courier New" w:eastAsia="Courier New" w:hAnsi="Courier New"/>
          <w:sz w:val="14"/>
          <w:szCs w:val="14"/>
          <w:color w:val="auto"/>
        </w:rPr>
        <w:t>This report contains certain forward-looking statements that are based largely on the Company's current expectations and are subject to certain risks, trends, and uncertainties that could cause actual results to differ materially from those anticipated. Among such risks, trends, and uncertainties are changes in advertising demand, newsprint prices, interest rates, regulatory rulings, availability of quality broadcast programming at competitive prices; quality and ratings of network over-the-air broadcast programs, legislative or regulatory initiatives affecting the cost of delivery of over-the-air broadcast programs to the Company's customers, and other economic conditions and the effect of acquisitions, investments, and dispositions on the Company's results of operations or financial condition. The words "believe," "expect," "anticipate," "intends," "plans," "projects," "considers," and similar expressions generally identify forward-looking statements. Readers are cautioned not to place undue reliance on such forward-looking statements, which are as of the date of this report. Further information concerning the Company and its businesses, including factors that potentially could materially affect the Company's financial results, is included in the Company's annual report on Form 10-K.</w:t>
      </w:r>
    </w:p>
    <w:p>
      <w:pPr>
        <w:sectPr>
          <w:pgSz w:w="11900" w:h="16838" w:orient="portrait"/>
          <w:cols w:equalWidth="0" w:num="1">
            <w:col w:w="10219"/>
          </w:cols>
          <w:pgMar w:left="240" w:top="807" w:right="1440" w:bottom="1440" w:gutter="0" w:footer="0" w:header="0"/>
        </w:sectPr>
      </w:pPr>
    </w:p>
    <w:bookmarkStart w:id="12" w:name="page13"/>
    <w:bookmarkEnd w:id="12"/>
    <w:p>
      <w:pPr>
        <w:ind w:left="2328"/>
        <w:spacing w:after="0"/>
        <w:rPr>
          <w:sz w:val="20"/>
          <w:szCs w:val="20"/>
          <w:color w:val="auto"/>
        </w:rPr>
      </w:pPr>
      <w:r>
        <w:rPr>
          <w:rFonts w:ascii="Courier New" w:cs="Courier New" w:eastAsia="Courier New" w:hAnsi="Courier New"/>
          <w:sz w:val="15"/>
          <w:szCs w:val="15"/>
          <w:color w:val="auto"/>
        </w:rPr>
        <w:t>LEE ENTERPRISES, INCORPORATED</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PART II. OTHER INFORMATION</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4. Submission of matters a vote of security holders</w:t>
      </w:r>
    </w:p>
    <w:p>
      <w:pPr>
        <w:spacing w:after="0" w:line="174" w:lineRule="exact"/>
        <w:rPr>
          <w:sz w:val="20"/>
          <w:szCs w:val="20"/>
          <w:color w:val="auto"/>
        </w:rPr>
      </w:pPr>
    </w:p>
    <w:p>
      <w:pPr>
        <w:ind w:left="348" w:hanging="348"/>
        <w:spacing w:after="0"/>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the Company was held on January 26, 1999.</w:t>
      </w:r>
    </w:p>
    <w:p>
      <w:pPr>
        <w:spacing w:after="0" w:line="175" w:lineRule="exact"/>
        <w:rPr>
          <w:rFonts w:ascii="Courier New" w:cs="Courier New" w:eastAsia="Courier New" w:hAnsi="Courier New"/>
          <w:sz w:val="15"/>
          <w:szCs w:val="15"/>
          <w:color w:val="auto"/>
        </w:rPr>
      </w:pPr>
    </w:p>
    <w:p>
      <w:pPr>
        <w:jc w:val="both"/>
        <w:ind w:left="448" w:right="3079" w:hanging="448"/>
        <w:spacing w:after="0" w:line="242" w:lineRule="auto"/>
        <w:tabs>
          <w:tab w:leader="none" w:pos="35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Rance E. Crain, Richard D. Gottlieb, and Phyllis Sewell were re-elected directors of three-year terms expiring at the 2002 annual meeting. Lloyd G. Schermer was re-elected as a director for a one-year term expiring at the 2000 annual meeting. Directors whose terms of office continued after the meeting include: J.P. Guerin, Charles E. Rickershauser, Jr., Mark Vittert, Andrew E. Newman, Ronald L. Rickman, Gordon D. Prichett and William E. Mayer.</w:t>
      </w:r>
    </w:p>
    <w:p>
      <w:pPr>
        <w:spacing w:after="0" w:line="175"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Votes were cast, all by proxy, for nominees for director as follows:</w:t>
      </w:r>
    </w:p>
    <w:p>
      <w:pPr>
        <w:spacing w:after="0" w:line="174"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Vote</w:t>
            </w:r>
          </w:p>
        </w:tc>
      </w:tr>
      <w:tr>
        <w:trPr>
          <w:trHeight w:val="172"/>
        </w:trPr>
        <w:tc>
          <w:tcPr>
            <w:tcW w:w="2640" w:type="dxa"/>
            <w:vAlign w:val="bottom"/>
          </w:tcPr>
          <w:p>
            <w:pPr>
              <w:spacing w:after="0"/>
              <w:rPr>
                <w:sz w:val="14"/>
                <w:szCs w:val="14"/>
                <w:color w:val="auto"/>
              </w:rPr>
            </w:pPr>
          </w:p>
        </w:tc>
        <w:tc>
          <w:tcPr>
            <w:tcW w:w="2380" w:type="dxa"/>
            <w:vAlign w:val="bottom"/>
          </w:tcPr>
          <w:p>
            <w:pPr>
              <w:jc w:val="center"/>
              <w:ind w:left="785"/>
              <w:spacing w:after="0"/>
              <w:rPr>
                <w:sz w:val="20"/>
                <w:szCs w:val="20"/>
                <w:color w:val="auto"/>
              </w:rPr>
            </w:pPr>
            <w:r>
              <w:rPr>
                <w:rFonts w:ascii="Courier New" w:cs="Courier New" w:eastAsia="Courier New" w:hAnsi="Courier New"/>
                <w:sz w:val="15"/>
                <w:szCs w:val="15"/>
                <w:color w:val="auto"/>
              </w:rPr>
              <w:t>For</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Withheld</w:t>
            </w:r>
          </w:p>
        </w:tc>
      </w:tr>
      <w:tr>
        <w:trPr>
          <w:trHeight w:val="172"/>
        </w:trPr>
        <w:tc>
          <w:tcPr>
            <w:tcW w:w="2640" w:type="dxa"/>
            <w:vAlign w:val="bottom"/>
          </w:tcPr>
          <w:p>
            <w:pPr>
              <w:spacing w:after="0"/>
              <w:rPr>
                <w:sz w:val="14"/>
                <w:szCs w:val="14"/>
                <w:color w:val="auto"/>
              </w:rPr>
            </w:pPr>
          </w:p>
        </w:tc>
        <w:tc>
          <w:tcPr>
            <w:tcW w:w="3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Rance E. Crain</w:t>
            </w:r>
          </w:p>
        </w:tc>
        <w:tc>
          <w:tcPr>
            <w:tcW w:w="2380" w:type="dxa"/>
            <w:vAlign w:val="bottom"/>
          </w:tcPr>
          <w:p>
            <w:pPr>
              <w:jc w:val="center"/>
              <w:ind w:left="785"/>
              <w:spacing w:after="0"/>
              <w:rPr>
                <w:sz w:val="20"/>
                <w:szCs w:val="20"/>
                <w:color w:val="auto"/>
              </w:rPr>
            </w:pPr>
            <w:r>
              <w:rPr>
                <w:rFonts w:ascii="Courier New" w:cs="Courier New" w:eastAsia="Courier New" w:hAnsi="Courier New"/>
                <w:sz w:val="15"/>
                <w:szCs w:val="15"/>
                <w:color w:val="auto"/>
              </w:rPr>
              <w:t>111,627,978</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1,362,617</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Richard D. Gottlieb</w:t>
            </w:r>
          </w:p>
        </w:tc>
        <w:tc>
          <w:tcPr>
            <w:tcW w:w="2380" w:type="dxa"/>
            <w:vAlign w:val="bottom"/>
          </w:tcPr>
          <w:p>
            <w:pPr>
              <w:jc w:val="center"/>
              <w:ind w:left="785"/>
              <w:spacing w:after="0"/>
              <w:rPr>
                <w:sz w:val="20"/>
                <w:szCs w:val="20"/>
                <w:color w:val="auto"/>
              </w:rPr>
            </w:pPr>
            <w:r>
              <w:rPr>
                <w:rFonts w:ascii="Courier New" w:cs="Courier New" w:eastAsia="Courier New" w:hAnsi="Courier New"/>
                <w:sz w:val="15"/>
                <w:szCs w:val="15"/>
                <w:color w:val="auto"/>
              </w:rPr>
              <w:t>111,516,213</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1,474,382</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Phyllis Sewell</w:t>
            </w:r>
          </w:p>
        </w:tc>
        <w:tc>
          <w:tcPr>
            <w:tcW w:w="2380" w:type="dxa"/>
            <w:vAlign w:val="bottom"/>
          </w:tcPr>
          <w:p>
            <w:pPr>
              <w:jc w:val="center"/>
              <w:ind w:left="785"/>
              <w:spacing w:after="0"/>
              <w:rPr>
                <w:sz w:val="20"/>
                <w:szCs w:val="20"/>
                <w:color w:val="auto"/>
              </w:rPr>
            </w:pPr>
            <w:r>
              <w:rPr>
                <w:rFonts w:ascii="Courier New" w:cs="Courier New" w:eastAsia="Courier New" w:hAnsi="Courier New"/>
                <w:sz w:val="15"/>
                <w:szCs w:val="15"/>
                <w:color w:val="auto"/>
              </w:rPr>
              <w:t>111,235,400</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1,755,195</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Lloyd G. Schermer</w:t>
            </w:r>
          </w:p>
        </w:tc>
        <w:tc>
          <w:tcPr>
            <w:tcW w:w="2380" w:type="dxa"/>
            <w:vAlign w:val="bottom"/>
          </w:tcPr>
          <w:p>
            <w:pPr>
              <w:jc w:val="center"/>
              <w:ind w:left="785"/>
              <w:spacing w:after="0"/>
              <w:rPr>
                <w:sz w:val="20"/>
                <w:szCs w:val="20"/>
                <w:color w:val="auto"/>
              </w:rPr>
            </w:pPr>
            <w:r>
              <w:rPr>
                <w:rFonts w:ascii="Courier New" w:cs="Courier New" w:eastAsia="Courier New" w:hAnsi="Courier New"/>
                <w:sz w:val="15"/>
                <w:szCs w:val="15"/>
                <w:color w:val="auto"/>
              </w:rPr>
              <w:t>111,210,414</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1,780,181</w:t>
            </w:r>
          </w:p>
        </w:tc>
      </w:tr>
    </w:tbl>
    <w:p>
      <w:pPr>
        <w:spacing w:after="0" w:line="3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Abstentions and broker non-votes were not significant.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 Not applicable</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4" w:lineRule="exact"/>
        <w:rPr>
          <w:sz w:val="20"/>
          <w:szCs w:val="20"/>
          <w:color w:val="auto"/>
        </w:rPr>
      </w:pPr>
    </w:p>
    <w:p>
      <w:pPr>
        <w:ind w:left="348" w:hanging="348"/>
        <w:spacing w:after="0"/>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347" w:lineRule="exact"/>
        <w:rPr>
          <w:rFonts w:ascii="Courier New" w:cs="Courier New" w:eastAsia="Courier New" w:hAnsi="Courier New"/>
          <w:sz w:val="15"/>
          <w:szCs w:val="15"/>
          <w:color w:val="auto"/>
        </w:rPr>
      </w:pPr>
    </w:p>
    <w:p>
      <w:pPr>
        <w:ind w:left="8" w:right="5039" w:hanging="8"/>
        <w:spacing w:after="0"/>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were no reports on Form 8-K required to be filed during the quarter for which this report is filed.</w:t>
      </w:r>
    </w:p>
    <w:p>
      <w:pPr>
        <w:sectPr>
          <w:pgSz w:w="11900" w:h="16838" w:orient="portrait"/>
          <w:cols w:equalWidth="0" w:num="1">
            <w:col w:w="10227"/>
          </w:cols>
          <w:pgMar w:left="232" w:top="805" w:right="1440" w:bottom="1440" w:gutter="0" w:footer="0" w:header="0"/>
        </w:sectPr>
      </w:pPr>
    </w:p>
    <w:bookmarkStart w:id="13" w:name="page14"/>
    <w:bookmarkEnd w:id="13"/>
    <w:p>
      <w:pPr>
        <w:ind w:left="3120"/>
        <w:spacing w:after="0"/>
        <w:rPr>
          <w:sz w:val="20"/>
          <w:szCs w:val="20"/>
          <w:color w:val="auto"/>
        </w:rPr>
      </w:pPr>
      <w:r>
        <w:rPr>
          <w:rFonts w:ascii="Courier New" w:cs="Courier New" w:eastAsia="Courier New" w:hAnsi="Courier New"/>
          <w:sz w:val="15"/>
          <w:szCs w:val="15"/>
          <w:color w:val="auto"/>
        </w:rPr>
        <w:t>SIGNATURES</w:t>
      </w:r>
    </w:p>
    <w:p>
      <w:pPr>
        <w:sectPr>
          <w:pgSz w:w="11900" w:h="16838" w:orient="portrait"/>
          <w:cols w:equalWidth="0" w:num="1">
            <w:col w:w="10219"/>
          </w:cols>
          <w:pgMar w:left="240" w:top="805" w:right="1440" w:bottom="1440" w:gutter="0" w:footer="0" w:header="0"/>
        </w:sectPr>
      </w:pPr>
    </w:p>
    <w:p>
      <w:pPr>
        <w:spacing w:after="0" w:line="348" w:lineRule="exact"/>
        <w:rPr>
          <w:sz w:val="20"/>
          <w:szCs w:val="20"/>
          <w:color w:val="auto"/>
        </w:rPr>
      </w:pPr>
    </w:p>
    <w:p>
      <w:pPr>
        <w:jc w:val="both"/>
        <w:spacing w:after="0" w:line="241" w:lineRule="auto"/>
        <w:rPr>
          <w:sz w:val="20"/>
          <w:szCs w:val="20"/>
          <w:color w:val="auto"/>
        </w:rPr>
      </w:pPr>
      <w:r>
        <w:rPr>
          <w:rFonts w:ascii="Courier New" w:cs="Courier New" w:eastAsia="Courier New" w:hAnsi="Courier New"/>
          <w:sz w:val="15"/>
          <w:szCs w:val="15"/>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80"/>
        <w:spacing w:after="0"/>
        <w:tabs>
          <w:tab w:leader="none" w:pos="960" w:val="left"/>
          <w:tab w:leader="none" w:pos="1680" w:val="left"/>
          <w:tab w:leader="none" w:pos="2300" w:val="left"/>
        </w:tabs>
        <w:rPr>
          <w:sz w:val="20"/>
          <w:szCs w:val="20"/>
          <w:color w:val="auto"/>
        </w:rPr>
      </w:pPr>
      <w:r>
        <w:rPr>
          <w:rFonts w:ascii="Courier New" w:cs="Courier New" w:eastAsia="Courier New" w:hAnsi="Courier New"/>
          <w:sz w:val="15"/>
          <w:szCs w:val="15"/>
          <w:color w:val="auto"/>
        </w:rPr>
        <w:t>Exchange</w:t>
        <w:tab/>
        <w:t>Act of</w:t>
        <w:tab/>
        <w:t>1934,</w:t>
      </w:r>
      <w:r>
        <w:rPr>
          <w:sz w:val="20"/>
          <w:szCs w:val="20"/>
          <w:color w:val="auto"/>
        </w:rPr>
        <w:tab/>
      </w:r>
      <w:r>
        <w:rPr>
          <w:rFonts w:ascii="Courier New" w:cs="Courier New" w:eastAsia="Courier New" w:hAnsi="Courier New"/>
          <w:sz w:val="14"/>
          <w:szCs w:val="14"/>
          <w:color w:val="auto"/>
        </w:rPr>
        <w:t>the</w:t>
      </w:r>
    </w:p>
    <w:p>
      <w:pPr>
        <w:spacing w:after="0" w:line="2" w:lineRule="exact"/>
        <w:rPr>
          <w:sz w:val="20"/>
          <w:szCs w:val="20"/>
          <w:color w:val="auto"/>
        </w:rPr>
      </w:pPr>
    </w:p>
    <w:p>
      <w:pPr>
        <w:spacing w:after="0"/>
        <w:tabs>
          <w:tab w:leader="none" w:pos="680" w:val="left"/>
          <w:tab w:leader="none" w:pos="1400" w:val="left"/>
        </w:tabs>
        <w:rPr>
          <w:sz w:val="20"/>
          <w:szCs w:val="20"/>
          <w:color w:val="auto"/>
        </w:rPr>
      </w:pPr>
      <w:r>
        <w:rPr>
          <w:rFonts w:ascii="Courier New" w:cs="Courier New" w:eastAsia="Courier New" w:hAnsi="Courier New"/>
          <w:sz w:val="15"/>
          <w:szCs w:val="15"/>
          <w:color w:val="auto"/>
        </w:rPr>
        <w:t>signed</w:t>
        <w:tab/>
        <w:t>on its</w:t>
      </w:r>
      <w:r>
        <w:rPr>
          <w:sz w:val="20"/>
          <w:szCs w:val="20"/>
          <w:color w:val="auto"/>
        </w:rPr>
        <w:tab/>
      </w:r>
      <w:r>
        <w:rPr>
          <w:rFonts w:ascii="Courier New" w:cs="Courier New" w:eastAsia="Courier New" w:hAnsi="Courier New"/>
          <w:sz w:val="14"/>
          <w:szCs w:val="14"/>
          <w:color w:val="auto"/>
        </w:rPr>
        <w:t>behalf by the</w:t>
      </w:r>
    </w:p>
    <w:p>
      <w:pPr>
        <w:spacing w:after="0" w:line="345" w:lineRule="exact"/>
        <w:rPr>
          <w:sz w:val="20"/>
          <w:szCs w:val="20"/>
          <w:color w:val="auto"/>
        </w:rPr>
      </w:pPr>
    </w:p>
    <w:p>
      <w:pPr>
        <w:sectPr>
          <w:pgSz w:w="11900" w:h="16838" w:orient="portrait"/>
          <w:cols w:equalWidth="0" w:num="2">
            <w:col w:w="4460" w:space="100"/>
            <w:col w:w="5659"/>
          </w:cols>
          <w:pgMar w:left="240" w:top="805"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5"/>
          <w:szCs w:val="15"/>
          <w:color w:val="auto"/>
        </w:rPr>
        <w:t>LEE ENTERPRISES, INCORPORATED</w:t>
      </w:r>
    </w:p>
    <w:p>
      <w:pPr>
        <w:spacing w:after="0" w:line="346" w:lineRule="exact"/>
        <w:rPr>
          <w:sz w:val="20"/>
          <w:szCs w:val="20"/>
          <w:color w:val="auto"/>
        </w:rPr>
      </w:pPr>
    </w:p>
    <w:p>
      <w:pPr>
        <w:spacing w:after="0"/>
        <w:tabs>
          <w:tab w:leader="none" w:pos="500" w:val="left"/>
          <w:tab w:leader="none" w:pos="3280" w:val="left"/>
        </w:tabs>
        <w:rPr>
          <w:sz w:val="20"/>
          <w:szCs w:val="20"/>
          <w:color w:val="auto"/>
        </w:rPr>
      </w:pPr>
      <w:r>
        <w:rPr>
          <w:rFonts w:ascii="Courier New" w:cs="Courier New" w:eastAsia="Courier New" w:hAnsi="Courier New"/>
          <w:sz w:val="15"/>
          <w:szCs w:val="15"/>
          <w:color w:val="auto"/>
        </w:rPr>
        <w:t>Date</w:t>
        <w:tab/>
        <w:t>May 6, 1999</w:t>
      </w:r>
      <w:r>
        <w:rPr>
          <w:sz w:val="20"/>
          <w:szCs w:val="20"/>
          <w:color w:val="auto"/>
        </w:rPr>
        <w:tab/>
      </w:r>
      <w:r>
        <w:rPr>
          <w:rFonts w:ascii="Courier New" w:cs="Courier New" w:eastAsia="Courier New" w:hAnsi="Courier New"/>
          <w:sz w:val="14"/>
          <w:szCs w:val="14"/>
          <w:color w:val="auto"/>
        </w:rPr>
        <w:t>/s/ G. C. Wahlig, Chief Accounting Officer</w:t>
      </w:r>
    </w:p>
    <w:p>
      <w:pPr>
        <w:spacing w:after="0" w:line="4" w:lineRule="exact"/>
        <w:rPr>
          <w:sz w:val="20"/>
          <w:szCs w:val="20"/>
          <w:color w:val="auto"/>
        </w:rPr>
      </w:pPr>
    </w:p>
    <w:p>
      <w:pPr>
        <w:ind w:left="520"/>
        <w:spacing w:after="0"/>
        <w:tabs>
          <w:tab w:leader="none" w:pos="3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G. C. Wahlig, Chief Accounting Officer</w:t>
      </w:r>
    </w:p>
    <w:p>
      <w:pPr>
        <w:sectPr>
          <w:pgSz w:w="11900" w:h="16838" w:orient="portrait"/>
          <w:cols w:equalWidth="0" w:num="1">
            <w:col w:w="10219"/>
          </w:cols>
          <w:pgMar w:left="240" w:top="805" w:right="1440" w:bottom="1440" w:gutter="0" w:footer="0" w:header="0"/>
          <w:type w:val="continuous"/>
        </w:sectPr>
      </w:pPr>
    </w:p>
    <w:bookmarkStart w:id="14" w:name="page15"/>
    <w:bookmarkEnd w:id="14"/>
    <w:p>
      <w:pPr>
        <w:ind w:left="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jc w:val="both"/>
        <w:ind w:right="2959"/>
        <w:spacing w:after="0" w:line="241" w:lineRule="auto"/>
        <w:rPr>
          <w:sz w:val="20"/>
          <w:szCs w:val="20"/>
          <w:color w:val="auto"/>
        </w:rPr>
      </w:pPr>
      <w:r>
        <w:rPr>
          <w:rFonts w:ascii="Courier New" w:cs="Courier New" w:eastAsia="Courier New" w:hAnsi="Courier New"/>
          <w:sz w:val="15"/>
          <w:szCs w:val="15"/>
          <w:color w:val="auto"/>
        </w:rPr>
        <w:t>THIS SCHEDULE CONTAINS SUMMARY FINANCIAL INFORMATION EXTRACTED FROM THE MARCH 31, 1999 FORM 10-Q OF LEE ENTERPRISES, INCORPORATED AND IS QUALIFIED IN ITS ENTIRETY BY REFERENCE TO SUCH FINANCIAL STATEMENTS</w:t>
      </w:r>
    </w:p>
    <w:p>
      <w:pPr>
        <w:spacing w:after="0" w:line="17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4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6-MOS</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SEP-30-1999</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MAR-31-1999</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15,859</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64,900</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4,701</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3,344</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91,617</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314,642</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180,183</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652,126</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72,210</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186,133</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88,636</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247,637</w:t>
      </w:r>
    </w:p>
    <w:p>
      <w:pPr>
        <w:spacing w:after="0" w:line="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652,126</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261,745</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265,273</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jc w:val="right"/>
        <w:ind w:right="6819"/>
        <w:spacing w:after="0"/>
        <w:rPr>
          <w:sz w:val="20"/>
          <w:szCs w:val="20"/>
          <w:color w:val="auto"/>
        </w:rPr>
      </w:pPr>
      <w:r>
        <w:rPr>
          <w:rFonts w:ascii="Courier New" w:cs="Courier New" w:eastAsia="Courier New" w:hAnsi="Courier New"/>
          <w:sz w:val="15"/>
          <w:szCs w:val="15"/>
          <w:color w:val="auto"/>
        </w:rPr>
        <w:t>208,770</w:t>
      </w:r>
    </w:p>
    <w:p>
      <w:pPr>
        <w:spacing w:after="0" w:line="2" w:lineRule="exact"/>
        <w:rPr>
          <w:sz w:val="20"/>
          <w:szCs w:val="20"/>
          <w:color w:val="auto"/>
        </w:rPr>
      </w:pPr>
    </w:p>
    <w:p>
      <w:pPr>
        <w:jc w:val="right"/>
        <w:ind w:right="6819"/>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7,252</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51,152</w:t>
      </w:r>
    </w:p>
    <w:p>
      <w:pPr>
        <w:spacing w:after="0" w:line="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19,545</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31,607</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31,607</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.71</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.70</w:t>
      </w:r>
    </w:p>
    <w:sectPr>
      <w:pgSz w:w="11900" w:h="16838" w:orient="portrait"/>
      <w:cols w:equalWidth="0" w:num="1">
        <w:col w:w="10199"/>
      </w:cols>
      <w:pgMar w:left="26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2020-02-22T13:01:09Z</dcterms:created>
  <dcterms:modified xsi:type="dcterms:W3CDTF">2020-02-22T13:01:09Z</dcterms:modified>
</cp:coreProperties>
</file>