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2"/>
          <w:szCs w:val="12"/>
          <w:color w:val="auto"/>
        </w:rPr>
        <w:t>UNITED STATES</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2"/>
          <w:szCs w:val="12"/>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2"/>
          <w:szCs w:val="12"/>
          <w:color w:val="auto"/>
        </w:rPr>
        <w:t>Washington, D.C. 20549</w:t>
      </w:r>
    </w:p>
    <w:p>
      <w:pPr>
        <w:spacing w:after="0" w:line="10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8-K</w:t>
      </w:r>
    </w:p>
    <w:p>
      <w:pPr>
        <w:spacing w:after="0" w:line="87" w:lineRule="exact"/>
        <w:rPr>
          <w:sz w:val="24"/>
          <w:szCs w:val="24"/>
          <w:color w:val="auto"/>
        </w:rPr>
      </w:pPr>
    </w:p>
    <w:p>
      <w:pPr>
        <w:ind w:left="5080"/>
        <w:spacing w:after="0"/>
        <w:rPr>
          <w:sz w:val="20"/>
          <w:szCs w:val="20"/>
          <w:color w:val="auto"/>
        </w:rPr>
      </w:pPr>
      <w:r>
        <w:rPr>
          <w:rFonts w:ascii="Arial" w:cs="Arial" w:eastAsia="Arial" w:hAnsi="Arial"/>
          <w:sz w:val="12"/>
          <w:szCs w:val="12"/>
          <w:color w:val="auto"/>
        </w:rPr>
        <w:t>CURRENT REPORT</w:t>
      </w:r>
    </w:p>
    <w:p>
      <w:pPr>
        <w:spacing w:after="0" w:line="78" w:lineRule="exact"/>
        <w:rPr>
          <w:sz w:val="24"/>
          <w:szCs w:val="24"/>
          <w:color w:val="auto"/>
        </w:rPr>
      </w:pPr>
    </w:p>
    <w:p>
      <w:pPr>
        <w:ind w:left="4340"/>
        <w:spacing w:after="0"/>
        <w:rPr>
          <w:sz w:val="20"/>
          <w:szCs w:val="20"/>
          <w:color w:val="auto"/>
        </w:rPr>
      </w:pPr>
      <w:r>
        <w:rPr>
          <w:rFonts w:ascii="Arial" w:cs="Arial" w:eastAsia="Arial" w:hAnsi="Arial"/>
          <w:sz w:val="12"/>
          <w:szCs w:val="12"/>
          <w:color w:val="auto"/>
        </w:rPr>
        <w:t>PURSUANT TO SECTION 13 OR 15(d) OF THE</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2"/>
          <w:szCs w:val="12"/>
          <w:color w:val="auto"/>
        </w:rPr>
        <w:t>SECURITIES EXCHANGE ACT OF 1934</w:t>
      </w:r>
    </w:p>
    <w:p>
      <w:pPr>
        <w:spacing w:after="0" w:line="66" w:lineRule="exact"/>
        <w:rPr>
          <w:sz w:val="24"/>
          <w:szCs w:val="24"/>
          <w:color w:val="auto"/>
        </w:rPr>
      </w:pPr>
    </w:p>
    <w:p>
      <w:pPr>
        <w:jc w:val="center"/>
        <w:spacing w:after="0"/>
        <w:rPr>
          <w:sz w:val="20"/>
          <w:szCs w:val="20"/>
          <w:color w:val="auto"/>
        </w:rPr>
      </w:pPr>
      <w:r>
        <w:rPr>
          <w:rFonts w:ascii="Arial" w:cs="Arial" w:eastAsia="Arial" w:hAnsi="Arial"/>
          <w:sz w:val="12"/>
          <w:szCs w:val="12"/>
          <w:color w:val="auto"/>
        </w:rPr>
        <w:t>Date of Report (Date of earliest event reported):May 7, 2026</w:t>
      </w:r>
    </w:p>
    <w:p>
      <w:pPr>
        <w:spacing w:after="0" w:line="18" w:lineRule="exact"/>
        <w:rPr>
          <w:sz w:val="24"/>
          <w:szCs w:val="24"/>
          <w:color w:val="auto"/>
        </w:rPr>
      </w:pPr>
    </w:p>
    <w:p>
      <w:pPr>
        <w:ind w:left="2740"/>
        <w:spacing w:after="0"/>
        <w:rPr>
          <w:sz w:val="20"/>
          <w:szCs w:val="20"/>
          <w:color w:val="auto"/>
        </w:rPr>
      </w:pPr>
      <w:r>
        <w:rPr>
          <w:rFonts w:ascii="Arial" w:cs="Arial" w:eastAsia="Arial" w:hAnsi="Arial"/>
          <w:sz w:val="12"/>
          <w:szCs w:val="12"/>
          <w:color w:val="auto"/>
        </w:rPr>
        <w:t>_______________________________________________________________________________________</w:t>
      </w:r>
    </w:p>
    <w:p>
      <w:pPr>
        <w:spacing w:after="0" w:line="62"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LEE ENTERPRISES, INCORPORATED</w:t>
      </w:r>
    </w:p>
    <w:p>
      <w:pPr>
        <w:spacing w:after="0" w:line="28" w:lineRule="exact"/>
        <w:rPr>
          <w:sz w:val="24"/>
          <w:szCs w:val="24"/>
          <w:color w:val="auto"/>
        </w:rPr>
      </w:pPr>
    </w:p>
    <w:p>
      <w:pPr>
        <w:jc w:val="center"/>
        <w:spacing w:after="0"/>
        <w:rPr>
          <w:sz w:val="20"/>
          <w:szCs w:val="20"/>
          <w:color w:val="auto"/>
        </w:rPr>
      </w:pPr>
      <w:r>
        <w:rPr>
          <w:rFonts w:ascii="Arial" w:cs="Arial" w:eastAsia="Arial" w:hAnsi="Arial"/>
          <w:sz w:val="12"/>
          <w:szCs w:val="12"/>
          <w:color w:val="auto"/>
        </w:rPr>
        <w:t>(Exact name of Registrant as specified in its charter)</w:t>
      </w:r>
    </w:p>
    <w:p>
      <w:pPr>
        <w:spacing w:after="0" w:line="6" w:lineRule="exact"/>
        <w:rPr>
          <w:sz w:val="24"/>
          <w:szCs w:val="24"/>
          <w:color w:val="auto"/>
        </w:rPr>
      </w:pPr>
    </w:p>
    <w:p>
      <w:pPr>
        <w:ind w:left="2740"/>
        <w:spacing w:after="0"/>
        <w:rPr>
          <w:sz w:val="20"/>
          <w:szCs w:val="20"/>
          <w:color w:val="auto"/>
        </w:rPr>
      </w:pPr>
      <w:r>
        <w:rPr>
          <w:rFonts w:ascii="Arial" w:cs="Arial" w:eastAsia="Arial" w:hAnsi="Arial"/>
          <w:sz w:val="12"/>
          <w:szCs w:val="12"/>
          <w:color w:val="auto"/>
        </w:rPr>
        <w:t>_______________________________________________________________________________________</w:t>
      </w:r>
    </w:p>
    <w:p>
      <w:pPr>
        <w:spacing w:after="0" w:line="102" w:lineRule="exact"/>
        <w:rPr>
          <w:sz w:val="24"/>
          <w:szCs w:val="24"/>
          <w:color w:val="auto"/>
        </w:rPr>
      </w:pPr>
    </w:p>
    <w:tbl>
      <w:tblPr>
        <w:tblLayout w:type="fixed"/>
        <w:tblInd w:w="0" w:type="dxa"/>
        <w:tblCellMar>
          <w:top w:w="0" w:type="dxa"/>
          <w:left w:w="0" w:type="dxa"/>
          <w:bottom w:w="0" w:type="dxa"/>
          <w:right w:w="0" w:type="dxa"/>
        </w:tblCellMar>
      </w:tblPr>
      <w:tr>
        <w:trPr>
          <w:trHeight w:val="159"/>
        </w:trPr>
        <w:tc>
          <w:tcPr>
            <w:tcW w:w="3780" w:type="dxa"/>
            <w:vAlign w:val="bottom"/>
          </w:tcPr>
          <w:p>
            <w:pPr>
              <w:jc w:val="center"/>
              <w:spacing w:after="0"/>
              <w:rPr>
                <w:sz w:val="20"/>
                <w:szCs w:val="20"/>
                <w:color w:val="auto"/>
              </w:rPr>
            </w:pPr>
            <w:r>
              <w:rPr>
                <w:rFonts w:ascii="Arial" w:cs="Arial" w:eastAsia="Arial" w:hAnsi="Arial"/>
                <w:sz w:val="12"/>
                <w:szCs w:val="12"/>
                <w:color w:val="auto"/>
              </w:rPr>
              <w:t>Delaware</w:t>
            </w:r>
          </w:p>
        </w:tc>
        <w:tc>
          <w:tcPr>
            <w:tcW w:w="3800" w:type="dxa"/>
            <w:vAlign w:val="bottom"/>
          </w:tcPr>
          <w:p>
            <w:pPr>
              <w:jc w:val="right"/>
              <w:ind w:right="1680"/>
              <w:spacing w:after="0"/>
              <w:rPr>
                <w:sz w:val="20"/>
                <w:szCs w:val="20"/>
                <w:color w:val="auto"/>
              </w:rPr>
            </w:pPr>
            <w:r>
              <w:rPr>
                <w:rFonts w:ascii="Arial" w:cs="Arial" w:eastAsia="Arial" w:hAnsi="Arial"/>
                <w:sz w:val="12"/>
                <w:szCs w:val="12"/>
                <w:color w:val="auto"/>
              </w:rPr>
              <w:t>1-6227</w:t>
            </w:r>
          </w:p>
        </w:tc>
        <w:tc>
          <w:tcPr>
            <w:tcW w:w="3720" w:type="dxa"/>
            <w:vAlign w:val="bottom"/>
          </w:tcPr>
          <w:p>
            <w:pPr>
              <w:jc w:val="center"/>
              <w:spacing w:after="0"/>
              <w:rPr>
                <w:sz w:val="20"/>
                <w:szCs w:val="20"/>
                <w:color w:val="auto"/>
              </w:rPr>
            </w:pPr>
            <w:r>
              <w:rPr>
                <w:rFonts w:ascii="Arial" w:cs="Arial" w:eastAsia="Arial" w:hAnsi="Arial"/>
                <w:sz w:val="12"/>
                <w:szCs w:val="12"/>
                <w:color w:val="auto"/>
                <w:w w:val="99"/>
              </w:rPr>
              <w:t>42-0823980</w:t>
            </w:r>
          </w:p>
        </w:tc>
      </w:tr>
      <w:tr>
        <w:trPr>
          <w:trHeight w:val="171"/>
        </w:trPr>
        <w:tc>
          <w:tcPr>
            <w:tcW w:w="3780" w:type="dxa"/>
            <w:vAlign w:val="bottom"/>
          </w:tcPr>
          <w:p>
            <w:pPr>
              <w:jc w:val="center"/>
              <w:spacing w:after="0"/>
              <w:rPr>
                <w:sz w:val="20"/>
                <w:szCs w:val="20"/>
                <w:color w:val="auto"/>
              </w:rPr>
            </w:pPr>
            <w:r>
              <w:rPr>
                <w:rFonts w:ascii="Arial" w:cs="Arial" w:eastAsia="Arial" w:hAnsi="Arial"/>
                <w:sz w:val="12"/>
                <w:szCs w:val="12"/>
                <w:color w:val="auto"/>
              </w:rPr>
              <w:t>(State of Incorporation)</w:t>
            </w:r>
          </w:p>
        </w:tc>
        <w:tc>
          <w:tcPr>
            <w:tcW w:w="3800" w:type="dxa"/>
            <w:vAlign w:val="bottom"/>
          </w:tcPr>
          <w:p>
            <w:pPr>
              <w:jc w:val="center"/>
              <w:spacing w:after="0"/>
              <w:rPr>
                <w:sz w:val="20"/>
                <w:szCs w:val="20"/>
                <w:color w:val="auto"/>
              </w:rPr>
            </w:pPr>
            <w:r>
              <w:rPr>
                <w:rFonts w:ascii="Arial" w:cs="Arial" w:eastAsia="Arial" w:hAnsi="Arial"/>
                <w:sz w:val="12"/>
                <w:szCs w:val="12"/>
                <w:color w:val="auto"/>
                <w:w w:val="99"/>
              </w:rPr>
              <w:t>(Commission File Number)</w:t>
            </w:r>
          </w:p>
        </w:tc>
        <w:tc>
          <w:tcPr>
            <w:tcW w:w="3720" w:type="dxa"/>
            <w:vAlign w:val="bottom"/>
          </w:tcPr>
          <w:p>
            <w:pPr>
              <w:jc w:val="center"/>
              <w:spacing w:after="0"/>
              <w:rPr>
                <w:sz w:val="20"/>
                <w:szCs w:val="20"/>
                <w:color w:val="auto"/>
              </w:rPr>
            </w:pPr>
            <w:r>
              <w:rPr>
                <w:rFonts w:ascii="Arial" w:cs="Arial" w:eastAsia="Arial" w:hAnsi="Arial"/>
                <w:sz w:val="12"/>
                <w:szCs w:val="12"/>
                <w:color w:val="auto"/>
                <w:w w:val="99"/>
              </w:rPr>
              <w:t>(I.R.S. Employer Identification No.)</w:t>
            </w:r>
          </w:p>
        </w:tc>
      </w:tr>
      <w:tr>
        <w:trPr>
          <w:trHeight w:val="351"/>
        </w:trPr>
        <w:tc>
          <w:tcPr>
            <w:tcW w:w="3780" w:type="dxa"/>
            <w:vAlign w:val="bottom"/>
          </w:tcPr>
          <w:p>
            <w:pPr>
              <w:spacing w:after="0"/>
              <w:rPr>
                <w:sz w:val="24"/>
                <w:szCs w:val="24"/>
                <w:color w:val="auto"/>
              </w:rPr>
            </w:pPr>
          </w:p>
        </w:tc>
        <w:tc>
          <w:tcPr>
            <w:tcW w:w="3800" w:type="dxa"/>
            <w:vAlign w:val="bottom"/>
          </w:tcPr>
          <w:p>
            <w:pPr>
              <w:jc w:val="center"/>
              <w:spacing w:after="0"/>
              <w:rPr>
                <w:sz w:val="20"/>
                <w:szCs w:val="20"/>
                <w:color w:val="auto"/>
              </w:rPr>
            </w:pPr>
            <w:r>
              <w:rPr>
                <w:rFonts w:ascii="Arial" w:cs="Arial" w:eastAsia="Arial" w:hAnsi="Arial"/>
                <w:sz w:val="12"/>
                <w:szCs w:val="12"/>
                <w:color w:val="auto"/>
                <w:w w:val="99"/>
              </w:rPr>
              <w:t>4600 E. 53rd Street, Davenport, Iowa 52807</w:t>
            </w:r>
          </w:p>
        </w:tc>
        <w:tc>
          <w:tcPr>
            <w:tcW w:w="3720" w:type="dxa"/>
            <w:vAlign w:val="bottom"/>
          </w:tcPr>
          <w:p>
            <w:pPr>
              <w:spacing w:after="0"/>
              <w:rPr>
                <w:sz w:val="24"/>
                <w:szCs w:val="24"/>
                <w:color w:val="auto"/>
              </w:rPr>
            </w:pPr>
          </w:p>
        </w:tc>
      </w:tr>
      <w:tr>
        <w:trPr>
          <w:trHeight w:val="171"/>
        </w:trPr>
        <w:tc>
          <w:tcPr>
            <w:tcW w:w="3780" w:type="dxa"/>
            <w:vAlign w:val="bottom"/>
          </w:tcPr>
          <w:p>
            <w:pPr>
              <w:spacing w:after="0"/>
              <w:rPr>
                <w:sz w:val="14"/>
                <w:szCs w:val="14"/>
                <w:color w:val="auto"/>
              </w:rPr>
            </w:pPr>
          </w:p>
        </w:tc>
        <w:tc>
          <w:tcPr>
            <w:tcW w:w="3800" w:type="dxa"/>
            <w:vAlign w:val="bottom"/>
          </w:tcPr>
          <w:p>
            <w:pPr>
              <w:jc w:val="center"/>
              <w:spacing w:after="0"/>
              <w:rPr>
                <w:sz w:val="20"/>
                <w:szCs w:val="20"/>
                <w:color w:val="auto"/>
              </w:rPr>
            </w:pPr>
            <w:r>
              <w:rPr>
                <w:rFonts w:ascii="Arial" w:cs="Arial" w:eastAsia="Arial" w:hAnsi="Arial"/>
                <w:sz w:val="12"/>
                <w:szCs w:val="12"/>
                <w:color w:val="auto"/>
                <w:w w:val="99"/>
              </w:rPr>
              <w:t>(Address of Principal Executive Offices)</w:t>
            </w:r>
          </w:p>
        </w:tc>
        <w:tc>
          <w:tcPr>
            <w:tcW w:w="3720" w:type="dxa"/>
            <w:vAlign w:val="bottom"/>
          </w:tcPr>
          <w:p>
            <w:pPr>
              <w:spacing w:after="0"/>
              <w:rPr>
                <w:sz w:val="14"/>
                <w:szCs w:val="14"/>
                <w:color w:val="auto"/>
              </w:rPr>
            </w:pPr>
          </w:p>
        </w:tc>
      </w:tr>
      <w:tr>
        <w:trPr>
          <w:trHeight w:val="342"/>
        </w:trPr>
        <w:tc>
          <w:tcPr>
            <w:tcW w:w="3780" w:type="dxa"/>
            <w:vAlign w:val="bottom"/>
          </w:tcPr>
          <w:p>
            <w:pPr>
              <w:spacing w:after="0"/>
              <w:rPr>
                <w:sz w:val="24"/>
                <w:szCs w:val="24"/>
                <w:color w:val="auto"/>
              </w:rPr>
            </w:pPr>
          </w:p>
        </w:tc>
        <w:tc>
          <w:tcPr>
            <w:tcW w:w="3800" w:type="dxa"/>
            <w:vAlign w:val="bottom"/>
          </w:tcPr>
          <w:p>
            <w:pPr>
              <w:jc w:val="right"/>
              <w:ind w:right="1460"/>
              <w:spacing w:after="0"/>
              <w:rPr>
                <w:sz w:val="20"/>
                <w:szCs w:val="20"/>
                <w:color w:val="auto"/>
              </w:rPr>
            </w:pPr>
            <w:r>
              <w:rPr>
                <w:rFonts w:ascii="Arial" w:cs="Arial" w:eastAsia="Arial" w:hAnsi="Arial"/>
                <w:sz w:val="12"/>
                <w:szCs w:val="12"/>
                <w:color w:val="auto"/>
              </w:rPr>
              <w:t>(563) 383-2100</w:t>
            </w:r>
          </w:p>
        </w:tc>
        <w:tc>
          <w:tcPr>
            <w:tcW w:w="3720" w:type="dxa"/>
            <w:vAlign w:val="bottom"/>
          </w:tcPr>
          <w:p>
            <w:pPr>
              <w:spacing w:after="0"/>
              <w:rPr>
                <w:sz w:val="24"/>
                <w:szCs w:val="24"/>
                <w:color w:val="auto"/>
              </w:rPr>
            </w:pPr>
          </w:p>
        </w:tc>
      </w:tr>
      <w:tr>
        <w:trPr>
          <w:trHeight w:val="180"/>
        </w:trPr>
        <w:tc>
          <w:tcPr>
            <w:tcW w:w="3780" w:type="dxa"/>
            <w:vAlign w:val="bottom"/>
          </w:tcPr>
          <w:p>
            <w:pPr>
              <w:spacing w:after="0"/>
              <w:rPr>
                <w:sz w:val="15"/>
                <w:szCs w:val="15"/>
                <w:color w:val="auto"/>
              </w:rPr>
            </w:pPr>
          </w:p>
        </w:tc>
        <w:tc>
          <w:tcPr>
            <w:tcW w:w="3800" w:type="dxa"/>
            <w:vAlign w:val="bottom"/>
          </w:tcPr>
          <w:p>
            <w:pPr>
              <w:jc w:val="center"/>
              <w:spacing w:after="0"/>
              <w:rPr>
                <w:sz w:val="20"/>
                <w:szCs w:val="20"/>
                <w:color w:val="auto"/>
              </w:rPr>
            </w:pPr>
            <w:r>
              <w:rPr>
                <w:rFonts w:ascii="Arial" w:cs="Arial" w:eastAsia="Arial" w:hAnsi="Arial"/>
                <w:sz w:val="12"/>
                <w:szCs w:val="12"/>
                <w:color w:val="auto"/>
                <w:w w:val="99"/>
              </w:rPr>
              <w:t>Registrant’s telephone number, including area code</w:t>
            </w:r>
          </w:p>
        </w:tc>
        <w:tc>
          <w:tcPr>
            <w:tcW w:w="3720" w:type="dxa"/>
            <w:vAlign w:val="bottom"/>
          </w:tcPr>
          <w:p>
            <w:pPr>
              <w:spacing w:after="0"/>
              <w:rPr>
                <w:sz w:val="15"/>
                <w:szCs w:val="15"/>
                <w:color w:val="auto"/>
              </w:rPr>
            </w:pPr>
          </w:p>
        </w:tc>
      </w:tr>
      <w:tr>
        <w:trPr>
          <w:trHeight w:val="303"/>
        </w:trPr>
        <w:tc>
          <w:tcPr>
            <w:tcW w:w="3780" w:type="dxa"/>
            <w:vAlign w:val="bottom"/>
          </w:tcPr>
          <w:p>
            <w:pPr>
              <w:spacing w:after="0"/>
              <w:rPr>
                <w:sz w:val="20"/>
                <w:szCs w:val="20"/>
                <w:color w:val="auto"/>
              </w:rPr>
            </w:pPr>
            <w:r>
              <w:rPr>
                <w:rFonts w:ascii="Arial" w:cs="Arial" w:eastAsia="Arial" w:hAnsi="Arial"/>
                <w:sz w:val="12"/>
                <w:szCs w:val="12"/>
                <w:b w:val="1"/>
                <w:bCs w:val="1"/>
                <w:color w:val="auto"/>
              </w:rPr>
              <w:t>Securities registered pursuant to Section 12(b) of the Act:</w:t>
            </w:r>
          </w:p>
        </w:tc>
        <w:tc>
          <w:tcPr>
            <w:tcW w:w="3800" w:type="dxa"/>
            <w:vAlign w:val="bottom"/>
          </w:tcPr>
          <w:p>
            <w:pPr>
              <w:spacing w:after="0"/>
              <w:rPr>
                <w:sz w:val="24"/>
                <w:szCs w:val="24"/>
                <w:color w:val="auto"/>
              </w:rPr>
            </w:pPr>
          </w:p>
        </w:tc>
        <w:tc>
          <w:tcPr>
            <w:tcW w:w="3720" w:type="dxa"/>
            <w:vAlign w:val="bottom"/>
          </w:tcPr>
          <w:p>
            <w:pPr>
              <w:spacing w:after="0"/>
              <w:rPr>
                <w:sz w:val="24"/>
                <w:szCs w:val="24"/>
                <w:color w:val="auto"/>
              </w:rPr>
            </w:pPr>
          </w:p>
        </w:tc>
      </w:tr>
      <w:tr>
        <w:trPr>
          <w:trHeight w:val="253"/>
        </w:trPr>
        <w:tc>
          <w:tcPr>
            <w:tcW w:w="378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rPr>
              <w:t>Title of each class</w:t>
            </w:r>
          </w:p>
        </w:tc>
        <w:tc>
          <w:tcPr>
            <w:tcW w:w="380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rPr>
              <w:t>Trading Symbol(s)</w:t>
            </w:r>
          </w:p>
        </w:tc>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rPr>
              <w:t>Name of each exchange on which registered</w:t>
            </w:r>
          </w:p>
        </w:tc>
      </w:tr>
      <w:tr>
        <w:trPr>
          <w:trHeight w:val="154"/>
        </w:trPr>
        <w:tc>
          <w:tcPr>
            <w:tcW w:w="3780" w:type="dxa"/>
            <w:vAlign w:val="bottom"/>
          </w:tcPr>
          <w:p>
            <w:pPr>
              <w:spacing w:after="0"/>
              <w:rPr>
                <w:sz w:val="20"/>
                <w:szCs w:val="20"/>
                <w:color w:val="auto"/>
              </w:rPr>
            </w:pPr>
            <w:r>
              <w:rPr>
                <w:rFonts w:ascii="Arial" w:cs="Arial" w:eastAsia="Arial" w:hAnsi="Arial"/>
                <w:sz w:val="12"/>
                <w:szCs w:val="12"/>
                <w:color w:val="auto"/>
              </w:rPr>
              <w:t>Common Stock, par value $.01 per share</w:t>
            </w:r>
          </w:p>
        </w:tc>
        <w:tc>
          <w:tcPr>
            <w:tcW w:w="3800" w:type="dxa"/>
            <w:vAlign w:val="bottom"/>
          </w:tcPr>
          <w:p>
            <w:pPr>
              <w:jc w:val="center"/>
              <w:spacing w:after="0"/>
              <w:rPr>
                <w:sz w:val="20"/>
                <w:szCs w:val="20"/>
                <w:color w:val="auto"/>
              </w:rPr>
            </w:pPr>
            <w:r>
              <w:rPr>
                <w:rFonts w:ascii="Arial" w:cs="Arial" w:eastAsia="Arial" w:hAnsi="Arial"/>
                <w:sz w:val="12"/>
                <w:szCs w:val="12"/>
                <w:color w:val="auto"/>
                <w:w w:val="96"/>
              </w:rPr>
              <w:t>LEE</w:t>
            </w:r>
          </w:p>
        </w:tc>
        <w:tc>
          <w:tcPr>
            <w:tcW w:w="3720" w:type="dxa"/>
            <w:vAlign w:val="bottom"/>
          </w:tcPr>
          <w:p>
            <w:pPr>
              <w:jc w:val="center"/>
              <w:spacing w:after="0"/>
              <w:rPr>
                <w:sz w:val="20"/>
                <w:szCs w:val="20"/>
                <w:color w:val="auto"/>
              </w:rPr>
            </w:pPr>
            <w:r>
              <w:rPr>
                <w:rFonts w:ascii="Arial" w:cs="Arial" w:eastAsia="Arial" w:hAnsi="Arial"/>
                <w:sz w:val="12"/>
                <w:szCs w:val="12"/>
                <w:color w:val="auto"/>
                <w:w w:val="99"/>
              </w:rPr>
              <w:t>The Nasdaq Global Select Market</w:t>
            </w:r>
          </w:p>
        </w:tc>
      </w:tr>
    </w:tbl>
    <w:p>
      <w:pPr>
        <w:spacing w:after="0" w:line="120" w:lineRule="exact"/>
        <w:rPr>
          <w:sz w:val="24"/>
          <w:szCs w:val="24"/>
          <w:color w:val="auto"/>
        </w:rPr>
      </w:pPr>
    </w:p>
    <w:p>
      <w:pPr>
        <w:spacing w:after="0"/>
        <w:rPr>
          <w:sz w:val="20"/>
          <w:szCs w:val="20"/>
          <w:color w:val="auto"/>
        </w:rPr>
      </w:pPr>
      <w:r>
        <w:rPr>
          <w:rFonts w:ascii="Arial" w:cs="Arial" w:eastAsia="Arial" w:hAnsi="Arial"/>
          <w:sz w:val="12"/>
          <w:szCs w:val="12"/>
          <w:color w:val="auto"/>
        </w:rPr>
        <w:t>Check the appropriate box below if the Form 8-K filing is intended to simultaneously satisfy the filing obligation of the registrant under any of the following provisions:</w:t>
      </w:r>
    </w:p>
    <w:p>
      <w:pPr>
        <w:spacing w:after="0" w:line="114" w:lineRule="exact"/>
        <w:rPr>
          <w:sz w:val="24"/>
          <w:szCs w:val="24"/>
          <w:color w:val="auto"/>
        </w:rPr>
      </w:pPr>
    </w:p>
    <w:p>
      <w:pPr>
        <w:ind w:left="340" w:hanging="336"/>
        <w:spacing w:after="0"/>
        <w:tabs>
          <w:tab w:leader="none" w:pos="340" w:val="left"/>
        </w:tabs>
        <w:numPr>
          <w:ilvl w:val="0"/>
          <w:numId w:val="1"/>
        </w:numPr>
        <w:rPr>
          <w:rFonts w:ascii="Wingdings" w:cs="Wingdings" w:eastAsia="Wingdings" w:hAnsi="Wingdings"/>
          <w:sz w:val="12"/>
          <w:szCs w:val="12"/>
          <w:b w:val="1"/>
          <w:bCs w:val="1"/>
          <w:color w:val="auto"/>
        </w:rPr>
      </w:pPr>
      <w:r>
        <w:rPr>
          <w:rFonts w:ascii="Arial" w:cs="Arial" w:eastAsia="Arial" w:hAnsi="Arial"/>
          <w:sz w:val="12"/>
          <w:szCs w:val="12"/>
          <w:color w:val="auto"/>
        </w:rPr>
        <w:t>Written communications pursuant to Rule 425 under the Securities Act (17 CFR 230.425)</w:t>
      </w:r>
    </w:p>
    <w:p>
      <w:pPr>
        <w:spacing w:after="0" w:line="105" w:lineRule="exact"/>
        <w:rPr>
          <w:rFonts w:ascii="Wingdings" w:cs="Wingdings" w:eastAsia="Wingdings" w:hAnsi="Wingdings"/>
          <w:sz w:val="12"/>
          <w:szCs w:val="12"/>
          <w:b w:val="1"/>
          <w:bCs w:val="1"/>
          <w:color w:val="auto"/>
        </w:rPr>
      </w:pPr>
    </w:p>
    <w:p>
      <w:pPr>
        <w:ind w:left="340" w:hanging="336"/>
        <w:spacing w:after="0"/>
        <w:tabs>
          <w:tab w:leader="none" w:pos="340" w:val="left"/>
        </w:tabs>
        <w:numPr>
          <w:ilvl w:val="0"/>
          <w:numId w:val="1"/>
        </w:numPr>
        <w:rPr>
          <w:rFonts w:ascii="Wingdings" w:cs="Wingdings" w:eastAsia="Wingdings" w:hAnsi="Wingdings"/>
          <w:sz w:val="12"/>
          <w:szCs w:val="12"/>
          <w:b w:val="1"/>
          <w:bCs w:val="1"/>
          <w:color w:val="auto"/>
        </w:rPr>
      </w:pPr>
      <w:r>
        <w:rPr>
          <w:rFonts w:ascii="Arial" w:cs="Arial" w:eastAsia="Arial" w:hAnsi="Arial"/>
          <w:sz w:val="12"/>
          <w:szCs w:val="12"/>
          <w:color w:val="auto"/>
        </w:rPr>
        <w:t>Soliciting material pursuant to Rule 14a-12 under the Exchange Act (17 CFR 240.14a-12)</w:t>
      </w:r>
    </w:p>
    <w:p>
      <w:pPr>
        <w:spacing w:after="0" w:line="105" w:lineRule="exact"/>
        <w:rPr>
          <w:rFonts w:ascii="Wingdings" w:cs="Wingdings" w:eastAsia="Wingdings" w:hAnsi="Wingdings"/>
          <w:sz w:val="12"/>
          <w:szCs w:val="12"/>
          <w:b w:val="1"/>
          <w:bCs w:val="1"/>
          <w:color w:val="auto"/>
        </w:rPr>
      </w:pPr>
    </w:p>
    <w:p>
      <w:pPr>
        <w:ind w:left="340" w:hanging="336"/>
        <w:spacing w:after="0"/>
        <w:tabs>
          <w:tab w:leader="none" w:pos="340" w:val="left"/>
        </w:tabs>
        <w:numPr>
          <w:ilvl w:val="0"/>
          <w:numId w:val="1"/>
        </w:numPr>
        <w:rPr>
          <w:rFonts w:ascii="Wingdings" w:cs="Wingdings" w:eastAsia="Wingdings" w:hAnsi="Wingdings"/>
          <w:sz w:val="12"/>
          <w:szCs w:val="12"/>
          <w:b w:val="1"/>
          <w:bCs w:val="1"/>
          <w:color w:val="auto"/>
        </w:rPr>
      </w:pPr>
      <w:r>
        <w:rPr>
          <w:rFonts w:ascii="Arial" w:cs="Arial" w:eastAsia="Arial" w:hAnsi="Arial"/>
          <w:sz w:val="12"/>
          <w:szCs w:val="12"/>
          <w:color w:val="auto"/>
        </w:rPr>
        <w:t>Pre-commencement communications pursuant to Rule 14d-2(b) under the Exchange Act (17 CFR 240.14d-2(b))</w:t>
      </w:r>
    </w:p>
    <w:p>
      <w:pPr>
        <w:spacing w:after="0" w:line="105" w:lineRule="exact"/>
        <w:rPr>
          <w:rFonts w:ascii="Wingdings" w:cs="Wingdings" w:eastAsia="Wingdings" w:hAnsi="Wingdings"/>
          <w:sz w:val="12"/>
          <w:szCs w:val="12"/>
          <w:b w:val="1"/>
          <w:bCs w:val="1"/>
          <w:color w:val="auto"/>
        </w:rPr>
      </w:pPr>
    </w:p>
    <w:p>
      <w:pPr>
        <w:ind w:left="340" w:hanging="336"/>
        <w:spacing w:after="0"/>
        <w:tabs>
          <w:tab w:leader="none" w:pos="340" w:val="left"/>
        </w:tabs>
        <w:numPr>
          <w:ilvl w:val="0"/>
          <w:numId w:val="1"/>
        </w:numPr>
        <w:rPr>
          <w:rFonts w:ascii="Wingdings" w:cs="Wingdings" w:eastAsia="Wingdings" w:hAnsi="Wingdings"/>
          <w:sz w:val="12"/>
          <w:szCs w:val="12"/>
          <w:b w:val="1"/>
          <w:bCs w:val="1"/>
          <w:color w:val="auto"/>
        </w:rPr>
      </w:pPr>
      <w:r>
        <w:rPr>
          <w:rFonts w:ascii="Arial" w:cs="Arial" w:eastAsia="Arial" w:hAnsi="Arial"/>
          <w:sz w:val="12"/>
          <w:szCs w:val="12"/>
          <w:color w:val="auto"/>
        </w:rPr>
        <w:t>Pre-commencement communications pursuant to Rule 13e-4(c) under the Exchange Act (17 CFR 240.13e-4(c))</w:t>
      </w:r>
    </w:p>
    <w:p>
      <w:pPr>
        <w:spacing w:after="0" w:line="195" w:lineRule="exact"/>
        <w:rPr>
          <w:sz w:val="24"/>
          <w:szCs w:val="24"/>
          <w:color w:val="auto"/>
        </w:rPr>
      </w:pPr>
    </w:p>
    <w:p>
      <w:pPr>
        <w:spacing w:after="0" w:line="260" w:lineRule="auto"/>
        <w:rPr>
          <w:sz w:val="20"/>
          <w:szCs w:val="20"/>
          <w:color w:val="auto"/>
        </w:rPr>
      </w:pPr>
      <w:r>
        <w:rPr>
          <w:rFonts w:ascii="Arial" w:cs="Arial" w:eastAsia="Arial" w:hAnsi="Arial"/>
          <w:sz w:val="12"/>
          <w:szCs w:val="12"/>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ind w:left="9720"/>
        <w:spacing w:after="0"/>
        <w:rPr>
          <w:sz w:val="20"/>
          <w:szCs w:val="20"/>
          <w:color w:val="auto"/>
        </w:rPr>
      </w:pPr>
      <w:r>
        <w:rPr>
          <w:rFonts w:ascii="Arial" w:cs="Arial" w:eastAsia="Arial" w:hAnsi="Arial"/>
          <w:sz w:val="12"/>
          <w:szCs w:val="12"/>
          <w:color w:val="auto"/>
        </w:rPr>
        <w:t xml:space="preserve">Emerging growth company </w:t>
      </w:r>
      <w:r>
        <w:rPr>
          <w:rFonts w:ascii="Wingdings" w:cs="Wingdings" w:eastAsia="Wingdings" w:hAnsi="Wingdings"/>
          <w:sz w:val="12"/>
          <w:szCs w:val="12"/>
          <w:b w:val="1"/>
          <w:bCs w:val="1"/>
          <w:color w:val="auto"/>
        </w:rPr>
        <w:t>o</w:t>
      </w:r>
    </w:p>
    <w:p>
      <w:pPr>
        <w:spacing w:after="0" w:line="120" w:lineRule="exact"/>
        <w:rPr>
          <w:sz w:val="24"/>
          <w:szCs w:val="24"/>
          <w:color w:val="auto"/>
        </w:rPr>
      </w:pPr>
    </w:p>
    <w:p>
      <w:pPr>
        <w:spacing w:after="0" w:line="286" w:lineRule="auto"/>
        <w:rPr>
          <w:sz w:val="20"/>
          <w:szCs w:val="20"/>
          <w:color w:val="auto"/>
        </w:rPr>
      </w:pPr>
      <w:r>
        <w:rPr>
          <w:rFonts w:ascii="Arial" w:cs="Arial" w:eastAsia="Arial" w:hAnsi="Arial"/>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2"/>
          <w:szCs w:val="12"/>
          <w:b w:val="1"/>
          <w:bCs w:val="1"/>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512445</wp:posOffset>
            </wp:positionV>
            <wp:extent cx="7203440" cy="368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03440" cy="3683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90805</wp:posOffset>
            </wp:positionV>
            <wp:extent cx="717804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739" w:right="299" w:bottom="1440" w:gutter="0" w:footer="0" w:header="0"/>
        </w:sectPr>
      </w:pPr>
    </w:p>
    <w:bookmarkStart w:id="1" w:name="page2"/>
    <w:bookmarkEnd w:id="1"/>
    <w:p>
      <w:pPr>
        <w:spacing w:after="0"/>
        <w:tabs>
          <w:tab w:leader="none" w:pos="660" w:val="left"/>
        </w:tabs>
        <w:rPr>
          <w:sz w:val="20"/>
          <w:szCs w:val="20"/>
          <w:color w:val="auto"/>
        </w:rPr>
      </w:pPr>
      <w:r>
        <w:rPr>
          <w:rFonts w:ascii="Arial" w:cs="Arial" w:eastAsia="Arial" w:hAnsi="Arial"/>
          <w:sz w:val="12"/>
          <w:szCs w:val="12"/>
          <w:b w:val="1"/>
          <w:bCs w:val="1"/>
          <w:color w:val="auto"/>
        </w:rPr>
        <w:t>Item 2.02.</w:t>
      </w:r>
      <w:r>
        <w:rPr>
          <w:sz w:val="20"/>
          <w:szCs w:val="20"/>
          <w:color w:val="auto"/>
        </w:rPr>
        <w:tab/>
      </w:r>
      <w:r>
        <w:rPr>
          <w:rFonts w:ascii="Arial" w:cs="Arial" w:eastAsia="Arial" w:hAnsi="Arial"/>
          <w:sz w:val="11"/>
          <w:szCs w:val="11"/>
          <w:b w:val="1"/>
          <w:bCs w:val="1"/>
          <w:u w:val="single" w:color="auto"/>
          <w:color w:val="auto"/>
        </w:rPr>
        <w:t>Results of Operations and Financial Condition.</w:t>
      </w:r>
    </w:p>
    <w:p>
      <w:pPr>
        <w:spacing w:after="0" w:line="9" w:lineRule="exact"/>
        <w:rPr>
          <w:sz w:val="20"/>
          <w:szCs w:val="20"/>
          <w:color w:val="auto"/>
        </w:rPr>
      </w:pPr>
    </w:p>
    <w:p>
      <w:pPr>
        <w:jc w:val="both"/>
        <w:spacing w:after="0" w:line="239" w:lineRule="auto"/>
        <w:rPr>
          <w:sz w:val="20"/>
          <w:szCs w:val="20"/>
          <w:color w:val="auto"/>
        </w:rPr>
      </w:pPr>
      <w:r>
        <w:rPr>
          <w:rFonts w:ascii="Arial" w:cs="Arial" w:eastAsia="Arial" w:hAnsi="Arial"/>
          <w:sz w:val="12"/>
          <w:szCs w:val="12"/>
          <w:color w:val="auto"/>
        </w:rPr>
        <w:t>On May 7, 2026, Lee Enterprises, Incorporated (the “Company”) reported its preliminary results for the second quarter ended March 29, 2026. In connection with the preliminary results, the Company issued an earnings release, which is attached hereto as Exhibit 99.1 (“Earnings Release”). The Company also prepared presentation materials which were presented by management during the Company’s earnings conference call, which are attached hereto as Exhibit 99.2 and have been made available on the Company’s website, investors.lee.net (“Presentation Materials”). In addition to the information in the Earnings Release, the Presentation Materials include content and financial figures demonstrating the Company’s expectation to be sustainable without reliance on print media as a long-term objective.</w:t>
      </w:r>
    </w:p>
    <w:p>
      <w:pPr>
        <w:spacing w:after="0" w:line="104" w:lineRule="exact"/>
        <w:rPr>
          <w:sz w:val="20"/>
          <w:szCs w:val="20"/>
          <w:color w:val="auto"/>
        </w:rPr>
      </w:pPr>
    </w:p>
    <w:p>
      <w:pPr>
        <w:jc w:val="both"/>
        <w:spacing w:after="0" w:line="286" w:lineRule="auto"/>
        <w:rPr>
          <w:sz w:val="20"/>
          <w:szCs w:val="20"/>
          <w:color w:val="auto"/>
        </w:rPr>
      </w:pPr>
      <w:r>
        <w:rPr>
          <w:rFonts w:ascii="Arial" w:cs="Arial" w:eastAsia="Arial" w:hAnsi="Arial"/>
          <w:sz w:val="12"/>
          <w:szCs w:val="12"/>
          <w:color w:val="auto"/>
        </w:rPr>
        <w:t>The information furnished by and incorporated by reference in this Item 2.02, including the attached Exhibits, shall not be deemed filed for purposes of Section 18 of the Securities Exchange Act of 1934, as amended, nor shall it be deemed incorporated by reference in any filing under the Securities Act of 1933, as amended, except as shall be expressly set forth by specific reference in such filing.</w:t>
      </w:r>
    </w:p>
    <w:p>
      <w:pPr>
        <w:spacing w:after="0" w:line="7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7.01</w:t>
      </w:r>
      <w:r>
        <w:rPr>
          <w:rFonts w:ascii="Arial" w:cs="Arial" w:eastAsia="Arial" w:hAnsi="Arial"/>
          <w:sz w:val="12"/>
          <w:szCs w:val="12"/>
          <w:color w:val="auto"/>
        </w:rPr>
        <w:t>.</w:t>
      </w:r>
      <w:r>
        <w:rPr>
          <w:rFonts w:ascii="Arial" w:cs="Arial" w:eastAsia="Arial" w:hAnsi="Arial"/>
          <w:sz w:val="12"/>
          <w:szCs w:val="12"/>
          <w:b w:val="1"/>
          <w:bCs w:val="1"/>
          <w:color w:val="auto"/>
        </w:rPr>
        <w:t xml:space="preserve"> </w:t>
      </w:r>
      <w:r>
        <w:rPr>
          <w:rFonts w:ascii="Arial" w:cs="Arial" w:eastAsia="Arial" w:hAnsi="Arial"/>
          <w:sz w:val="12"/>
          <w:szCs w:val="12"/>
          <w:b w:val="1"/>
          <w:bCs w:val="1"/>
          <w:u w:val="single" w:color="auto"/>
          <w:color w:val="auto"/>
        </w:rPr>
        <w:t>Regulation FD Disclosure</w:t>
      </w:r>
    </w:p>
    <w:p>
      <w:pPr>
        <w:spacing w:after="0" w:line="132" w:lineRule="exact"/>
        <w:rPr>
          <w:sz w:val="20"/>
          <w:szCs w:val="20"/>
          <w:color w:val="auto"/>
        </w:rPr>
      </w:pPr>
    </w:p>
    <w:p>
      <w:pPr>
        <w:spacing w:after="0"/>
        <w:rPr>
          <w:sz w:val="20"/>
          <w:szCs w:val="20"/>
          <w:color w:val="auto"/>
        </w:rPr>
      </w:pPr>
      <w:r>
        <w:rPr>
          <w:rFonts w:ascii="Arial" w:cs="Arial" w:eastAsia="Arial" w:hAnsi="Arial"/>
          <w:sz w:val="12"/>
          <w:szCs w:val="12"/>
          <w:color w:val="auto"/>
        </w:rPr>
        <w:t>The disclosure contained in Item 2.02 is incorporated herein by reference.</w:t>
      </w:r>
    </w:p>
    <w:p>
      <w:pPr>
        <w:spacing w:after="0" w:line="150" w:lineRule="exact"/>
        <w:rPr>
          <w:sz w:val="20"/>
          <w:szCs w:val="20"/>
          <w:color w:val="auto"/>
        </w:rPr>
      </w:pPr>
    </w:p>
    <w:p>
      <w:pPr>
        <w:spacing w:after="0"/>
        <w:tabs>
          <w:tab w:leader="none" w:pos="660" w:val="left"/>
        </w:tabs>
        <w:rPr>
          <w:sz w:val="20"/>
          <w:szCs w:val="20"/>
          <w:color w:val="auto"/>
        </w:rPr>
      </w:pPr>
      <w:r>
        <w:rPr>
          <w:rFonts w:ascii="Arial" w:cs="Arial" w:eastAsia="Arial" w:hAnsi="Arial"/>
          <w:sz w:val="12"/>
          <w:szCs w:val="12"/>
          <w:b w:val="1"/>
          <w:bCs w:val="1"/>
          <w:color w:val="auto"/>
        </w:rPr>
        <w:t>Item 9.01.</w:t>
      </w:r>
      <w:r>
        <w:rPr>
          <w:sz w:val="20"/>
          <w:szCs w:val="20"/>
          <w:color w:val="auto"/>
        </w:rPr>
        <w:tab/>
      </w:r>
      <w:r>
        <w:rPr>
          <w:rFonts w:ascii="Arial" w:cs="Arial" w:eastAsia="Arial" w:hAnsi="Arial"/>
          <w:sz w:val="11"/>
          <w:szCs w:val="11"/>
          <w:b w:val="1"/>
          <w:bCs w:val="1"/>
          <w:u w:val="single" w:color="auto"/>
          <w:color w:val="auto"/>
        </w:rPr>
        <w:t>Financial Statements and Exhibits.</w:t>
      </w: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2060" w:type="dxa"/>
            <w:vAlign w:val="bottom"/>
          </w:tcPr>
          <w:p>
            <w:pPr>
              <w:ind w:left="1000"/>
              <w:spacing w:after="0"/>
              <w:rPr>
                <w:sz w:val="20"/>
                <w:szCs w:val="20"/>
                <w:color w:val="auto"/>
              </w:rPr>
            </w:pPr>
            <w:r>
              <w:rPr>
                <w:rFonts w:ascii="Arial" w:cs="Arial" w:eastAsia="Arial" w:hAnsi="Arial"/>
                <w:sz w:val="12"/>
                <w:szCs w:val="12"/>
                <w:color w:val="auto"/>
              </w:rPr>
              <w:t>(d)</w:t>
            </w:r>
            <w:r>
              <w:rPr>
                <w:rFonts w:ascii="Arial" w:cs="Arial" w:eastAsia="Arial" w:hAnsi="Arial"/>
                <w:sz w:val="12"/>
                <w:szCs w:val="12"/>
                <w:i w:val="1"/>
                <w:iCs w:val="1"/>
                <w:color w:val="auto"/>
              </w:rPr>
              <w:t>Exhibits</w:t>
            </w:r>
          </w:p>
        </w:tc>
        <w:tc>
          <w:tcPr>
            <w:tcW w:w="9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40" w:type="dxa"/>
            <w:vAlign w:val="bottom"/>
          </w:tcPr>
          <w:p>
            <w:pPr>
              <w:spacing w:after="0"/>
              <w:rPr>
                <w:sz w:val="13"/>
                <w:szCs w:val="13"/>
                <w:color w:val="auto"/>
              </w:rPr>
            </w:pPr>
          </w:p>
        </w:tc>
      </w:tr>
      <w:tr>
        <w:trPr>
          <w:trHeight w:val="151"/>
        </w:trPr>
        <w:tc>
          <w:tcPr>
            <w:tcW w:w="2060" w:type="dxa"/>
            <w:vAlign w:val="bottom"/>
          </w:tcPr>
          <w:p>
            <w:pPr>
              <w:jc w:val="center"/>
              <w:ind w:left="460"/>
              <w:spacing w:after="0"/>
              <w:rPr>
                <w:sz w:val="20"/>
                <w:szCs w:val="20"/>
                <w:color w:val="auto"/>
              </w:rPr>
            </w:pPr>
            <w:r>
              <w:rPr>
                <w:rFonts w:ascii="Arial" w:cs="Arial" w:eastAsia="Arial" w:hAnsi="Arial"/>
                <w:sz w:val="12"/>
                <w:szCs w:val="12"/>
                <w:color w:val="auto"/>
                <w:w w:val="93"/>
              </w:rPr>
              <w:t>99.1</w:t>
            </w:r>
          </w:p>
        </w:tc>
        <w:tc>
          <w:tcPr>
            <w:tcW w:w="960" w:type="dxa"/>
            <w:vAlign w:val="bottom"/>
            <w:tcBorders>
              <w:bottom w:val="single" w:sz="8" w:color="0000FF"/>
            </w:tcBorders>
          </w:tcPr>
          <w:p>
            <w:pPr>
              <w:spacing w:after="0"/>
              <w:rPr>
                <w:sz w:val="20"/>
                <w:szCs w:val="20"/>
                <w:color w:val="auto"/>
              </w:rPr>
            </w:pPr>
            <w:r>
              <w:rPr>
                <w:rFonts w:ascii="Arial" w:cs="Arial" w:eastAsia="Arial" w:hAnsi="Arial"/>
                <w:sz w:val="12"/>
                <w:szCs w:val="12"/>
                <w:color w:val="0000FF"/>
                <w:w w:val="99"/>
              </w:rPr>
              <w:t>Earnings Release</w:t>
            </w:r>
          </w:p>
        </w:tc>
        <w:tc>
          <w:tcPr>
            <w:tcW w:w="8280" w:type="dxa"/>
            <w:vAlign w:val="bottom"/>
            <w:gridSpan w:val="2"/>
          </w:tcPr>
          <w:p>
            <w:pPr>
              <w:spacing w:after="0"/>
              <w:rPr>
                <w:sz w:val="13"/>
                <w:szCs w:val="13"/>
                <w:color w:val="auto"/>
              </w:rPr>
            </w:pPr>
          </w:p>
        </w:tc>
      </w:tr>
      <w:tr>
        <w:trPr>
          <w:trHeight w:val="151"/>
        </w:trPr>
        <w:tc>
          <w:tcPr>
            <w:tcW w:w="2060" w:type="dxa"/>
            <w:vAlign w:val="bottom"/>
          </w:tcPr>
          <w:p>
            <w:pPr>
              <w:jc w:val="center"/>
              <w:ind w:left="460"/>
              <w:spacing w:after="0"/>
              <w:rPr>
                <w:sz w:val="20"/>
                <w:szCs w:val="20"/>
                <w:color w:val="auto"/>
              </w:rPr>
            </w:pPr>
            <w:r>
              <w:rPr>
                <w:rFonts w:ascii="Arial" w:cs="Arial" w:eastAsia="Arial" w:hAnsi="Arial"/>
                <w:sz w:val="12"/>
                <w:szCs w:val="12"/>
                <w:color w:val="auto"/>
                <w:w w:val="93"/>
              </w:rPr>
              <w:t>99.2</w:t>
            </w:r>
          </w:p>
        </w:tc>
        <w:tc>
          <w:tcPr>
            <w:tcW w:w="1200" w:type="dxa"/>
            <w:vAlign w:val="bottom"/>
            <w:tcBorders>
              <w:bottom w:val="single" w:sz="8" w:color="0000FF"/>
            </w:tcBorders>
            <w:gridSpan w:val="2"/>
          </w:tcPr>
          <w:p>
            <w:pPr>
              <w:spacing w:after="0"/>
              <w:rPr>
                <w:sz w:val="20"/>
                <w:szCs w:val="20"/>
                <w:color w:val="auto"/>
              </w:rPr>
            </w:pPr>
            <w:r>
              <w:rPr>
                <w:rFonts w:ascii="Arial" w:cs="Arial" w:eastAsia="Arial" w:hAnsi="Arial"/>
                <w:sz w:val="12"/>
                <w:szCs w:val="12"/>
                <w:color w:val="0000FF"/>
                <w:w w:val="98"/>
              </w:rPr>
              <w:t>Presentation Materials</w:t>
            </w:r>
          </w:p>
        </w:tc>
        <w:tc>
          <w:tcPr>
            <w:tcW w:w="8040" w:type="dxa"/>
            <w:vAlign w:val="bottom"/>
          </w:tcPr>
          <w:p>
            <w:pPr>
              <w:spacing w:after="0"/>
              <w:rPr>
                <w:sz w:val="13"/>
                <w:szCs w:val="13"/>
                <w:color w:val="auto"/>
              </w:rPr>
            </w:pPr>
          </w:p>
        </w:tc>
      </w:tr>
      <w:tr>
        <w:trPr>
          <w:trHeight w:val="180"/>
        </w:trPr>
        <w:tc>
          <w:tcPr>
            <w:tcW w:w="2060" w:type="dxa"/>
            <w:vAlign w:val="bottom"/>
          </w:tcPr>
          <w:p>
            <w:pPr>
              <w:jc w:val="center"/>
              <w:ind w:left="480"/>
              <w:spacing w:after="0"/>
              <w:rPr>
                <w:sz w:val="20"/>
                <w:szCs w:val="20"/>
                <w:color w:val="auto"/>
              </w:rPr>
            </w:pPr>
            <w:r>
              <w:rPr>
                <w:rFonts w:ascii="Arial" w:cs="Arial" w:eastAsia="Arial" w:hAnsi="Arial"/>
                <w:sz w:val="12"/>
                <w:szCs w:val="12"/>
                <w:color w:val="auto"/>
                <w:w w:val="99"/>
              </w:rPr>
              <w:t>104</w:t>
            </w:r>
          </w:p>
        </w:tc>
        <w:tc>
          <w:tcPr>
            <w:tcW w:w="9240" w:type="dxa"/>
            <w:vAlign w:val="bottom"/>
            <w:gridSpan w:val="3"/>
          </w:tcPr>
          <w:p>
            <w:pPr>
              <w:spacing w:after="0"/>
              <w:rPr>
                <w:sz w:val="20"/>
                <w:szCs w:val="20"/>
                <w:color w:val="auto"/>
              </w:rPr>
            </w:pPr>
            <w:r>
              <w:rPr>
                <w:rFonts w:ascii="Arial" w:cs="Arial" w:eastAsia="Arial" w:hAnsi="Arial"/>
                <w:sz w:val="12"/>
                <w:szCs w:val="12"/>
                <w:color w:val="auto"/>
              </w:rPr>
              <w:t>Cover Page Interactive Data File (embedded within the Inline XBRL document)</w:t>
            </w:r>
          </w:p>
        </w:tc>
      </w:tr>
      <w:tr>
        <w:trPr>
          <w:trHeight w:val="682"/>
        </w:trPr>
        <w:tc>
          <w:tcPr>
            <w:tcW w:w="206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0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811" w:right="299" w:bottom="1440" w:gutter="0" w:footer="0" w:header="0"/>
        </w:sectPr>
      </w:pPr>
    </w:p>
    <w:bookmarkStart w:id="2" w:name="page3"/>
    <w:bookmarkEnd w:id="2"/>
    <w:p>
      <w:pPr>
        <w:ind w:left="5260"/>
        <w:spacing w:after="0"/>
        <w:rPr>
          <w:sz w:val="20"/>
          <w:szCs w:val="20"/>
          <w:color w:val="auto"/>
        </w:rPr>
      </w:pPr>
      <w:r>
        <w:rPr>
          <w:rFonts w:ascii="Arial" w:cs="Arial" w:eastAsia="Arial" w:hAnsi="Arial"/>
          <w:sz w:val="12"/>
          <w:szCs w:val="12"/>
          <w:b w:val="1"/>
          <w:bCs w:val="1"/>
          <w:color w:val="auto"/>
        </w:rPr>
        <w:t>SIGNATURES</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color w:val="auto"/>
        </w:rPr>
        <w:t>Pursuant to the requirements of the Securities Exchange Act of 1934, the Registrant has duly caused this report to be signed on its behalf by the undersigned thereunto duly authorized.</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48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6380" w:type="dxa"/>
            <w:vAlign w:val="bottom"/>
          </w:tcPr>
          <w:p>
            <w:pPr>
              <w:ind w:left="20"/>
              <w:spacing w:after="0"/>
              <w:rPr>
                <w:sz w:val="20"/>
                <w:szCs w:val="20"/>
                <w:color w:val="auto"/>
              </w:rPr>
            </w:pPr>
            <w:r>
              <w:rPr>
                <w:rFonts w:ascii="Arial" w:cs="Arial" w:eastAsia="Arial" w:hAnsi="Arial"/>
                <w:sz w:val="12"/>
                <w:szCs w:val="12"/>
                <w:b w:val="1"/>
                <w:bCs w:val="1"/>
                <w:color w:val="auto"/>
              </w:rPr>
              <w:t>LEE ENTERPRISES, INCORPORATED</w:t>
            </w:r>
          </w:p>
        </w:tc>
      </w:tr>
      <w:tr>
        <w:trPr>
          <w:trHeight w:val="532"/>
        </w:trPr>
        <w:tc>
          <w:tcPr>
            <w:tcW w:w="480" w:type="dxa"/>
            <w:vAlign w:val="bottom"/>
          </w:tcPr>
          <w:p>
            <w:pPr>
              <w:spacing w:after="0"/>
              <w:rPr>
                <w:sz w:val="20"/>
                <w:szCs w:val="20"/>
                <w:color w:val="auto"/>
              </w:rPr>
            </w:pPr>
            <w:r>
              <w:rPr>
                <w:rFonts w:ascii="Arial" w:cs="Arial" w:eastAsia="Arial" w:hAnsi="Arial"/>
                <w:sz w:val="12"/>
                <w:szCs w:val="12"/>
                <w:color w:val="auto"/>
              </w:rPr>
              <w:t>Date:</w:t>
            </w:r>
          </w:p>
        </w:tc>
        <w:tc>
          <w:tcPr>
            <w:tcW w:w="2400" w:type="dxa"/>
            <w:vAlign w:val="bottom"/>
          </w:tcPr>
          <w:p>
            <w:pPr>
              <w:ind w:left="200"/>
              <w:spacing w:after="0"/>
              <w:rPr>
                <w:sz w:val="20"/>
                <w:szCs w:val="20"/>
                <w:color w:val="auto"/>
              </w:rPr>
            </w:pPr>
            <w:r>
              <w:rPr>
                <w:rFonts w:ascii="Arial" w:cs="Arial" w:eastAsia="Arial" w:hAnsi="Arial"/>
                <w:sz w:val="12"/>
                <w:szCs w:val="12"/>
                <w:color w:val="auto"/>
              </w:rPr>
              <w:t>May 7, 2026</w:t>
            </w:r>
          </w:p>
        </w:tc>
        <w:tc>
          <w:tcPr>
            <w:tcW w:w="8220" w:type="dxa"/>
            <w:vAlign w:val="bottom"/>
            <w:gridSpan w:val="2"/>
          </w:tcPr>
          <w:p>
            <w:pPr>
              <w:ind w:left="1520"/>
              <w:spacing w:after="0"/>
              <w:rPr>
                <w:sz w:val="20"/>
                <w:szCs w:val="20"/>
                <w:color w:val="auto"/>
              </w:rPr>
            </w:pPr>
            <w:r>
              <w:rPr>
                <w:rFonts w:ascii="Arial" w:cs="Arial" w:eastAsia="Arial" w:hAnsi="Arial"/>
                <w:sz w:val="12"/>
                <w:szCs w:val="12"/>
                <w:color w:val="auto"/>
              </w:rPr>
              <w:t>By:   /s/ Joshua P. Rinehults</w:t>
            </w:r>
          </w:p>
        </w:tc>
      </w:tr>
      <w:tr>
        <w:trPr>
          <w:trHeight w:val="138"/>
        </w:trPr>
        <w:tc>
          <w:tcPr>
            <w:tcW w:w="48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6380" w:type="dxa"/>
            <w:vAlign w:val="bottom"/>
            <w:tcBorders>
              <w:top w:val="single" w:sz="8" w:color="auto"/>
            </w:tcBorders>
          </w:tcPr>
          <w:p>
            <w:pPr>
              <w:ind w:left="20"/>
              <w:spacing w:after="0"/>
              <w:rPr>
                <w:sz w:val="20"/>
                <w:szCs w:val="20"/>
                <w:color w:val="auto"/>
              </w:rPr>
            </w:pPr>
            <w:r>
              <w:rPr>
                <w:rFonts w:ascii="Arial" w:cs="Arial" w:eastAsia="Arial" w:hAnsi="Arial"/>
                <w:sz w:val="12"/>
                <w:szCs w:val="12"/>
                <w:color w:val="auto"/>
              </w:rPr>
              <w:t>Joshua P. Rinehults</w:t>
            </w:r>
          </w:p>
        </w:tc>
      </w:tr>
      <w:tr>
        <w:trPr>
          <w:trHeight w:val="159"/>
        </w:trPr>
        <w:tc>
          <w:tcPr>
            <w:tcW w:w="48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6380" w:type="dxa"/>
            <w:vAlign w:val="bottom"/>
          </w:tcPr>
          <w:p>
            <w:pPr>
              <w:ind w:left="20"/>
              <w:spacing w:after="0"/>
              <w:rPr>
                <w:sz w:val="20"/>
                <w:szCs w:val="20"/>
                <w:color w:val="auto"/>
              </w:rPr>
            </w:pPr>
            <w:r>
              <w:rPr>
                <w:rFonts w:ascii="Arial" w:cs="Arial" w:eastAsia="Arial" w:hAnsi="Arial"/>
                <w:sz w:val="12"/>
                <w:szCs w:val="12"/>
                <w:color w:val="auto"/>
              </w:rPr>
              <w:t>Vice President, Interim Chief Financial Officer and Treasurer</w:t>
            </w:r>
          </w:p>
        </w:tc>
      </w:tr>
    </w:tbl>
    <w:p>
      <w:pPr>
        <w:sectPr>
          <w:pgSz w:w="11900" w:h="16838" w:orient="portrait"/>
          <w:cols w:equalWidth="0" w:num="1">
            <w:col w:w="11100"/>
          </w:cols>
          <w:pgMar w:left="300" w:top="667" w:right="499" w:bottom="1440" w:gutter="0" w:footer="0" w:header="0"/>
        </w:sectPr>
      </w:pPr>
    </w:p>
    <w:bookmarkStart w:id="3" w:name="page4"/>
    <w:bookmarkEnd w:id="3"/>
    <w:p>
      <w:pPr>
        <w:ind w:left="340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185420</wp:posOffset>
            </wp:positionH>
            <wp:positionV relativeFrom="page">
              <wp:posOffset>506095</wp:posOffset>
            </wp:positionV>
            <wp:extent cx="1543050" cy="3600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1543050" cy="360045"/>
                    </a:xfrm>
                    <a:prstGeom prst="rect">
                      <a:avLst/>
                    </a:prstGeom>
                    <a:noFill/>
                  </pic:spPr>
                </pic:pic>
              </a:graphicData>
            </a:graphic>
          </wp:anchor>
        </w:drawing>
        <w:t>Lee Enterprises Reports Strong Second Quarter Results</w:t>
      </w:r>
    </w:p>
    <w:p>
      <w:pPr>
        <w:spacing w:after="0" w:line="109" w:lineRule="exact"/>
        <w:rPr>
          <w:sz w:val="20"/>
          <w:szCs w:val="20"/>
          <w:color w:val="auto"/>
        </w:rPr>
      </w:pPr>
    </w:p>
    <w:p>
      <w:pPr>
        <w:ind w:left="4040"/>
        <w:spacing w:after="0"/>
        <w:rPr>
          <w:sz w:val="20"/>
          <w:szCs w:val="20"/>
          <w:color w:val="auto"/>
        </w:rPr>
      </w:pPr>
      <w:r>
        <w:rPr>
          <w:rFonts w:ascii="Arial" w:cs="Arial" w:eastAsia="Arial" w:hAnsi="Arial"/>
          <w:sz w:val="17"/>
          <w:szCs w:val="17"/>
          <w:color w:val="auto"/>
        </w:rPr>
        <w:t>95% YOY Adjusted EBITDA</w:t>
      </w:r>
      <w:r>
        <w:rPr>
          <w:rFonts w:ascii="Arial" w:cs="Arial" w:eastAsia="Arial" w:hAnsi="Arial"/>
          <w:sz w:val="21"/>
          <w:szCs w:val="21"/>
          <w:color w:val="auto"/>
          <w:vertAlign w:val="superscript"/>
        </w:rPr>
        <w:t>(1)</w:t>
      </w:r>
      <w:r>
        <w:rPr>
          <w:rFonts w:ascii="Arial" w:cs="Arial" w:eastAsia="Arial" w:hAnsi="Arial"/>
          <w:sz w:val="17"/>
          <w:szCs w:val="17"/>
          <w:color w:val="auto"/>
        </w:rPr>
        <w:t xml:space="preserve"> growth in Q2</w:t>
      </w:r>
    </w:p>
    <w:p>
      <w:pPr>
        <w:jc w:val="center"/>
        <w:spacing w:after="0" w:line="187" w:lineRule="auto"/>
        <w:rPr>
          <w:sz w:val="20"/>
          <w:szCs w:val="20"/>
          <w:color w:val="auto"/>
        </w:rPr>
      </w:pPr>
      <w:r>
        <w:rPr>
          <w:rFonts w:ascii="Arial" w:cs="Arial" w:eastAsia="Arial" w:hAnsi="Arial"/>
          <w:sz w:val="17"/>
          <w:szCs w:val="17"/>
          <w:color w:val="auto"/>
        </w:rPr>
        <w:t>Digital revenue</w:t>
      </w:r>
      <w:r>
        <w:rPr>
          <w:rFonts w:ascii="Arial" w:cs="Arial" w:eastAsia="Arial" w:hAnsi="Arial"/>
          <w:sz w:val="21"/>
          <w:szCs w:val="21"/>
          <w:color w:val="auto"/>
          <w:vertAlign w:val="superscript"/>
        </w:rPr>
        <w:t>(2)</w:t>
      </w:r>
      <w:r>
        <w:rPr>
          <w:rFonts w:ascii="Arial" w:cs="Arial" w:eastAsia="Arial" w:hAnsi="Arial"/>
          <w:sz w:val="17"/>
          <w:szCs w:val="17"/>
          <w:color w:val="auto"/>
        </w:rPr>
        <w:t xml:space="preserve"> represents 56% of total revenue in Q2</w:t>
      </w:r>
    </w:p>
    <w:p>
      <w:pPr>
        <w:jc w:val="center"/>
        <w:spacing w:after="0" w:line="198" w:lineRule="auto"/>
        <w:rPr>
          <w:sz w:val="20"/>
          <w:szCs w:val="20"/>
          <w:color w:val="auto"/>
        </w:rPr>
      </w:pPr>
      <w:r>
        <w:rPr>
          <w:rFonts w:ascii="Arial" w:cs="Arial" w:eastAsia="Arial" w:hAnsi="Arial"/>
          <w:sz w:val="17"/>
          <w:szCs w:val="17"/>
          <w:color w:val="auto"/>
        </w:rPr>
        <w:t>Improved capital structure; $53M in cash &amp; interest rate</w:t>
      </w:r>
      <w:r>
        <w:rPr>
          <w:rFonts w:ascii="Arial" w:cs="Arial" w:eastAsia="Arial" w:hAnsi="Arial"/>
          <w:sz w:val="21"/>
          <w:szCs w:val="21"/>
          <w:color w:val="auto"/>
          <w:vertAlign w:val="superscript"/>
        </w:rPr>
        <w:t>(3)</w:t>
      </w:r>
      <w:r>
        <w:rPr>
          <w:rFonts w:ascii="Arial" w:cs="Arial" w:eastAsia="Arial" w:hAnsi="Arial"/>
          <w:sz w:val="17"/>
          <w:szCs w:val="17"/>
          <w:color w:val="auto"/>
        </w:rPr>
        <w:t xml:space="preserve"> reduced to 5%</w:t>
      </w:r>
    </w:p>
    <w:p>
      <w:pPr>
        <w:jc w:val="center"/>
        <w:spacing w:after="0"/>
        <w:rPr>
          <w:sz w:val="20"/>
          <w:szCs w:val="20"/>
          <w:color w:val="auto"/>
        </w:rPr>
      </w:pPr>
      <w:r>
        <w:rPr>
          <w:rFonts w:ascii="Arial" w:cs="Arial" w:eastAsia="Arial" w:hAnsi="Arial"/>
          <w:sz w:val="17"/>
          <w:szCs w:val="17"/>
          <w:color w:val="auto"/>
        </w:rPr>
        <w:t>Reaffirms guidance of YOY Adjusted EBITDA growth in FY26</w:t>
      </w:r>
    </w:p>
    <w:p>
      <w:pPr>
        <w:spacing w:after="0" w:line="142" w:lineRule="exact"/>
        <w:rPr>
          <w:sz w:val="20"/>
          <w:szCs w:val="20"/>
          <w:color w:val="auto"/>
        </w:rPr>
      </w:pPr>
    </w:p>
    <w:p>
      <w:pPr>
        <w:jc w:val="both"/>
        <w:spacing w:after="0" w:line="281" w:lineRule="auto"/>
        <w:rPr>
          <w:sz w:val="20"/>
          <w:szCs w:val="20"/>
          <w:color w:val="auto"/>
        </w:rPr>
      </w:pPr>
      <w:r>
        <w:rPr>
          <w:rFonts w:ascii="Arial" w:cs="Arial" w:eastAsia="Arial" w:hAnsi="Arial"/>
          <w:sz w:val="12"/>
          <w:szCs w:val="12"/>
          <w:color w:val="auto"/>
        </w:rPr>
        <w:t>DAVENPORT, Iowa (May 7, 2026) — Lee Enterprises, Incorporated (NASDAQ: LEE), a digital-first subscription platform providing high quality, trusted, local news, information and a major platform for advertising in 114 markets, today reported preliminary second quarter fiscal 2026 financial results</w:t>
      </w:r>
      <w:r>
        <w:rPr>
          <w:rFonts w:ascii="Arial" w:cs="Arial" w:eastAsia="Arial" w:hAnsi="Arial"/>
          <w:sz w:val="15"/>
          <w:szCs w:val="15"/>
          <w:color w:val="auto"/>
          <w:vertAlign w:val="superscript"/>
        </w:rPr>
        <w:t>(4)</w:t>
      </w:r>
      <w:r>
        <w:rPr>
          <w:rFonts w:ascii="Arial" w:cs="Arial" w:eastAsia="Arial" w:hAnsi="Arial"/>
          <w:sz w:val="12"/>
          <w:szCs w:val="12"/>
          <w:color w:val="auto"/>
        </w:rPr>
        <w:t xml:space="preserve"> for the period ended March 29, 2026.</w:t>
      </w:r>
    </w:p>
    <w:p>
      <w:pPr>
        <w:spacing w:after="0" w:line="59" w:lineRule="exact"/>
        <w:rPr>
          <w:sz w:val="20"/>
          <w:szCs w:val="20"/>
          <w:color w:val="auto"/>
        </w:rPr>
      </w:pPr>
    </w:p>
    <w:p>
      <w:pPr>
        <w:jc w:val="both"/>
        <w:spacing w:after="0" w:line="231" w:lineRule="auto"/>
        <w:rPr>
          <w:sz w:val="20"/>
          <w:szCs w:val="20"/>
          <w:color w:val="auto"/>
        </w:rPr>
      </w:pPr>
      <w:r>
        <w:rPr>
          <w:rFonts w:ascii="Arial" w:cs="Arial" w:eastAsia="Arial" w:hAnsi="Arial"/>
          <w:sz w:val="12"/>
          <w:szCs w:val="12"/>
          <w:color w:val="auto"/>
        </w:rPr>
        <w:t>"Our second quarter results reflect continued momentum in the business and disciplined execution across our operations," said Nathan Bekke, Lee’s President and Chief Executive Officer. "Adjusted EBITDA increased $7 million, or 95%, over the prior year quarter, marking our fourth consecutive quarter of Adjusted EBITDA growth on a comparable basis</w:t>
      </w:r>
      <w:r>
        <w:rPr>
          <w:rFonts w:ascii="Arial" w:cs="Arial" w:eastAsia="Arial" w:hAnsi="Arial"/>
          <w:sz w:val="15"/>
          <w:szCs w:val="15"/>
          <w:color w:val="auto"/>
          <w:vertAlign w:val="superscript"/>
        </w:rPr>
        <w:t>(5)</w:t>
      </w:r>
      <w:r>
        <w:rPr>
          <w:rFonts w:ascii="Arial" w:cs="Arial" w:eastAsia="Arial" w:hAnsi="Arial"/>
          <w:sz w:val="12"/>
          <w:szCs w:val="12"/>
          <w:color w:val="auto"/>
        </w:rPr>
        <w:t>. Our 2026 results continue to benefit from insurance reimbursements related to last year's cyber event, contributing $4 million to Adjusted EBITDA in the quarter. Excluding these reimbursements, our underlying operating performance still drove Adjusted EBITDA growth of 45% year-over-year, highlighting the strength of our core business. These results reinforce our confidence that we will deliver year-over-year Adjusted EBITDA growth in fiscal 2026, while highlighting the resilience, momentum and ongoing evolution of our business model."</w:t>
      </w:r>
    </w:p>
    <w:p>
      <w:pPr>
        <w:spacing w:after="0" w:line="140" w:lineRule="exact"/>
        <w:rPr>
          <w:sz w:val="20"/>
          <w:szCs w:val="20"/>
          <w:color w:val="auto"/>
        </w:rPr>
      </w:pPr>
    </w:p>
    <w:p>
      <w:pPr>
        <w:jc w:val="both"/>
        <w:spacing w:after="0" w:line="252" w:lineRule="auto"/>
        <w:rPr>
          <w:sz w:val="20"/>
          <w:szCs w:val="20"/>
          <w:color w:val="auto"/>
        </w:rPr>
      </w:pPr>
      <w:r>
        <w:rPr>
          <w:rFonts w:ascii="Arial" w:cs="Arial" w:eastAsia="Arial" w:hAnsi="Arial"/>
          <w:sz w:val="12"/>
          <w:szCs w:val="12"/>
          <w:color w:val="auto"/>
        </w:rPr>
        <w:t>“In the quarter, we continued to take proactive steps to align our cost structure with the ongoing shift in our revenue mix,” added Bekke. “These actions include further optimization of our operating footprint, streamlining of workflows, reduction in corporate overhead and continued prioritization of investments that support digital growth. As a result, we are realizing meaningful efficiencies while maintaining our focus on delivering high-quality local journalism and content. We expect these efforts to continue supporting margin improvement and enhancing the scalability of our business over time.”</w:t>
      </w:r>
    </w:p>
    <w:p>
      <w:pPr>
        <w:spacing w:after="0" w:line="132" w:lineRule="exact"/>
        <w:rPr>
          <w:sz w:val="20"/>
          <w:szCs w:val="20"/>
          <w:color w:val="auto"/>
        </w:rPr>
      </w:pPr>
    </w:p>
    <w:p>
      <w:pPr>
        <w:jc w:val="both"/>
        <w:spacing w:after="0" w:line="246" w:lineRule="auto"/>
        <w:rPr>
          <w:sz w:val="20"/>
          <w:szCs w:val="20"/>
          <w:color w:val="auto"/>
        </w:rPr>
      </w:pPr>
      <w:r>
        <w:rPr>
          <w:rFonts w:ascii="Arial" w:cs="Arial" w:eastAsia="Arial" w:hAnsi="Arial"/>
          <w:sz w:val="12"/>
          <w:szCs w:val="12"/>
          <w:color w:val="auto"/>
        </w:rPr>
        <w:t>"We are also beginning to realize benefits from the strategic investment completed in February," said Bekke. "The amendment to our credit agreement reduced our interest rate mid-quarter, which will drive meaningful interest expense savings going forward. We expect these savings to total approximately $18 million annually, or up to $90 million over the next five years, further strengthening our capital structure and enhancing our financial flexibility as we continue to invest in digital growth. Additionally, we finished the quarter with $ 53 million in cash on our balance sheet, up $49 million year-over-year. This improved liquidity, combined with lower interest expense, positions us well to accelerate our strategic priorities and further strengthen our balance sheet over time."</w:t>
      </w:r>
    </w:p>
    <w:p>
      <w:pPr>
        <w:spacing w:after="0" w:line="127" w:lineRule="exact"/>
        <w:rPr>
          <w:sz w:val="20"/>
          <w:szCs w:val="20"/>
          <w:color w:val="auto"/>
        </w:rPr>
      </w:pPr>
    </w:p>
    <w:p>
      <w:pPr>
        <w:jc w:val="both"/>
        <w:ind w:right="20"/>
        <w:spacing w:after="0" w:line="270" w:lineRule="auto"/>
        <w:rPr>
          <w:sz w:val="20"/>
          <w:szCs w:val="20"/>
          <w:color w:val="auto"/>
        </w:rPr>
      </w:pPr>
      <w:r>
        <w:rPr>
          <w:rFonts w:ascii="Arial" w:cs="Arial" w:eastAsia="Arial" w:hAnsi="Arial"/>
          <w:sz w:val="12"/>
          <w:szCs w:val="12"/>
          <w:color w:val="auto"/>
        </w:rPr>
        <w:t>"Net loss for the quarter totaled $2 million, an improvement of $10 million, or 86%, compared to the prior year quarter. The year-over-year improvement was driven by higher Adjusted EBITDA, lower interest expense following the strategic investment, and continued cost discipline," added Bekke.</w:t>
      </w:r>
    </w:p>
    <w:p>
      <w:pPr>
        <w:spacing w:after="0" w:line="122" w:lineRule="exact"/>
        <w:rPr>
          <w:sz w:val="20"/>
          <w:szCs w:val="20"/>
          <w:color w:val="auto"/>
        </w:rPr>
      </w:pPr>
    </w:p>
    <w:p>
      <w:pPr>
        <w:jc w:val="both"/>
        <w:spacing w:after="0" w:line="252" w:lineRule="auto"/>
        <w:rPr>
          <w:sz w:val="20"/>
          <w:szCs w:val="20"/>
          <w:color w:val="auto"/>
        </w:rPr>
      </w:pPr>
      <w:r>
        <w:rPr>
          <w:rFonts w:ascii="Arial" w:cs="Arial" w:eastAsia="Arial" w:hAnsi="Arial"/>
          <w:sz w:val="12"/>
          <w:szCs w:val="12"/>
          <w:color w:val="auto"/>
        </w:rPr>
        <w:t>“Our progress continues to reflect the strength of our strategy and advances we are making in our digital transformation," Bekke added. "We remain focused on expanding recurring digital revenue while maintaining disciplined cost management to support margin improvement. We are highly encouraged by our performance through the first half of the fiscal year and remain confident in our strategy and our ability to deliver continued growth in the quarters ahead."</w:t>
      </w:r>
    </w:p>
    <w:p>
      <w:pPr>
        <w:spacing w:after="0" w:line="251"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For the second quarter ended March 29, 2026:</w:t>
      </w:r>
    </w:p>
    <w:p>
      <w:pPr>
        <w:spacing w:after="0" w:line="157" w:lineRule="exact"/>
        <w:rPr>
          <w:sz w:val="20"/>
          <w:szCs w:val="20"/>
          <w:color w:val="auto"/>
        </w:rPr>
      </w:pPr>
    </w:p>
    <w:p>
      <w:pPr>
        <w:ind w:left="640" w:hanging="324"/>
        <w:spacing w:after="0"/>
        <w:tabs>
          <w:tab w:leader="none" w:pos="640" w:val="left"/>
        </w:tabs>
        <w:numPr>
          <w:ilvl w:val="0"/>
          <w:numId w:val="2"/>
        </w:numPr>
        <w:rPr>
          <w:rFonts w:ascii="Arial" w:cs="Arial" w:eastAsia="Arial" w:hAnsi="Arial"/>
          <w:sz w:val="12"/>
          <w:szCs w:val="12"/>
          <w:color w:val="auto"/>
        </w:rPr>
      </w:pPr>
      <w:r>
        <w:rPr>
          <w:rFonts w:ascii="Arial" w:cs="Arial" w:eastAsia="Arial" w:hAnsi="Arial"/>
          <w:sz w:val="12"/>
          <w:szCs w:val="12"/>
          <w:color w:val="auto"/>
        </w:rPr>
        <w:t>Total operating revenue was $122 million.</w:t>
      </w:r>
    </w:p>
    <w:p>
      <w:pPr>
        <w:spacing w:after="0" w:line="159" w:lineRule="exact"/>
        <w:rPr>
          <w:rFonts w:ascii="Arial" w:cs="Arial" w:eastAsia="Arial" w:hAnsi="Arial"/>
          <w:sz w:val="12"/>
          <w:szCs w:val="12"/>
          <w:color w:val="auto"/>
        </w:rPr>
      </w:pPr>
    </w:p>
    <w:p>
      <w:pPr>
        <w:ind w:left="640" w:hanging="324"/>
        <w:spacing w:after="0"/>
        <w:tabs>
          <w:tab w:leader="none" w:pos="640" w:val="left"/>
        </w:tabs>
        <w:numPr>
          <w:ilvl w:val="0"/>
          <w:numId w:val="2"/>
        </w:numPr>
        <w:rPr>
          <w:rFonts w:ascii="Arial" w:cs="Arial" w:eastAsia="Arial" w:hAnsi="Arial"/>
          <w:sz w:val="12"/>
          <w:szCs w:val="12"/>
          <w:color w:val="auto"/>
        </w:rPr>
      </w:pPr>
      <w:r>
        <w:rPr>
          <w:rFonts w:ascii="Arial" w:cs="Arial" w:eastAsia="Arial" w:hAnsi="Arial"/>
          <w:sz w:val="12"/>
          <w:szCs w:val="12"/>
          <w:color w:val="auto"/>
        </w:rPr>
        <w:t>Total Digital Revenue was $68 million and represented 56% of our total operating revenue.</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w:t>
      </w:r>
    </w:p>
    <w:p>
      <w:pPr>
        <w:sectPr>
          <w:pgSz w:w="11900" w:h="16838" w:orient="portrait"/>
          <w:cols w:equalWidth="0" w:num="1">
            <w:col w:w="11300"/>
          </w:cols>
          <w:pgMar w:left="300" w:top="1403" w:right="299" w:bottom="1440" w:gutter="0" w:footer="0" w:header="0"/>
        </w:sectPr>
      </w:pPr>
    </w:p>
    <w:bookmarkStart w:id="4" w:name="page5"/>
    <w:bookmarkEnd w:id="4"/>
    <w:p>
      <w:pPr>
        <w:ind w:left="640" w:hanging="324"/>
        <w:spacing w:after="0" w:line="286" w:lineRule="auto"/>
        <w:tabs>
          <w:tab w:leader="none" w:pos="637" w:val="left"/>
        </w:tabs>
        <w:numPr>
          <w:ilvl w:val="0"/>
          <w:numId w:val="3"/>
        </w:numPr>
        <w:rPr>
          <w:rFonts w:ascii="Arial" w:cs="Arial" w:eastAsia="Arial" w:hAnsi="Arial"/>
          <w:sz w:val="12"/>
          <w:szCs w:val="12"/>
          <w:color w:val="auto"/>
        </w:rPr>
      </w:pPr>
      <w:r>
        <w:rPr>
          <w:rFonts w:ascii="Arial" w:cs="Arial" w:eastAsia="Arial" w:hAnsi="Arial"/>
          <w:sz w:val="12"/>
          <w:szCs w:val="12"/>
          <w:color w:val="auto"/>
        </w:rPr>
        <w:t>Revenue from digital-only subscribers totaled $22 million. Digital-only subscription revenue increased 17% annually over the past three years. Digital-only subscribers totaled 591,000 at the end of the quarter.</w:t>
      </w:r>
    </w:p>
    <w:p>
      <w:pPr>
        <w:spacing w:after="0" w:line="84" w:lineRule="exact"/>
        <w:rPr>
          <w:rFonts w:ascii="Arial" w:cs="Arial" w:eastAsia="Arial" w:hAnsi="Arial"/>
          <w:sz w:val="12"/>
          <w:szCs w:val="12"/>
          <w:color w:val="auto"/>
        </w:rPr>
      </w:pPr>
    </w:p>
    <w:p>
      <w:pPr>
        <w:ind w:left="640" w:hanging="324"/>
        <w:spacing w:after="0"/>
        <w:tabs>
          <w:tab w:leader="none" w:pos="640" w:val="left"/>
        </w:tabs>
        <w:numPr>
          <w:ilvl w:val="0"/>
          <w:numId w:val="3"/>
        </w:numPr>
        <w:rPr>
          <w:rFonts w:ascii="Arial" w:cs="Arial" w:eastAsia="Arial" w:hAnsi="Arial"/>
          <w:sz w:val="12"/>
          <w:szCs w:val="12"/>
          <w:color w:val="auto"/>
        </w:rPr>
      </w:pPr>
      <w:r>
        <w:rPr>
          <w:rFonts w:ascii="Arial" w:cs="Arial" w:eastAsia="Arial" w:hAnsi="Arial"/>
          <w:sz w:val="12"/>
          <w:szCs w:val="12"/>
          <w:color w:val="auto"/>
        </w:rPr>
        <w:t>Digital advertising and marketing services revenue represented 74% of our total advertising revenue and totaled $41 million. Amplified Digital</w:t>
      </w:r>
      <w:r>
        <w:rPr>
          <w:rFonts w:ascii="Arial" w:cs="Arial" w:eastAsia="Arial" w:hAnsi="Arial"/>
          <w:sz w:val="15"/>
          <w:szCs w:val="15"/>
          <w:color w:val="auto"/>
          <w:vertAlign w:val="superscript"/>
        </w:rPr>
        <w:t>®</w:t>
      </w:r>
      <w:r>
        <w:rPr>
          <w:rFonts w:ascii="Arial" w:cs="Arial" w:eastAsia="Arial" w:hAnsi="Arial"/>
          <w:sz w:val="12"/>
          <w:szCs w:val="12"/>
          <w:color w:val="auto"/>
        </w:rPr>
        <w:t xml:space="preserve"> Agency revenue totaled $23 million in the quarter.</w:t>
      </w:r>
    </w:p>
    <w:p>
      <w:pPr>
        <w:spacing w:after="0" w:line="89" w:lineRule="exact"/>
        <w:rPr>
          <w:rFonts w:ascii="Arial" w:cs="Arial" w:eastAsia="Arial" w:hAnsi="Arial"/>
          <w:sz w:val="12"/>
          <w:szCs w:val="12"/>
          <w:color w:val="auto"/>
        </w:rPr>
      </w:pPr>
    </w:p>
    <w:p>
      <w:pPr>
        <w:ind w:left="640" w:hanging="324"/>
        <w:spacing w:after="0"/>
        <w:tabs>
          <w:tab w:leader="none" w:pos="640" w:val="left"/>
        </w:tabs>
        <w:numPr>
          <w:ilvl w:val="0"/>
          <w:numId w:val="3"/>
        </w:numPr>
        <w:rPr>
          <w:rFonts w:ascii="Arial" w:cs="Arial" w:eastAsia="Arial" w:hAnsi="Arial"/>
          <w:sz w:val="12"/>
          <w:szCs w:val="12"/>
          <w:color w:val="auto"/>
        </w:rPr>
      </w:pPr>
      <w:r>
        <w:rPr>
          <w:rFonts w:ascii="Arial" w:cs="Arial" w:eastAsia="Arial" w:hAnsi="Arial"/>
          <w:sz w:val="12"/>
          <w:szCs w:val="12"/>
          <w:color w:val="auto"/>
        </w:rPr>
        <w:t>Digital services revenue, which is predominantly from BLOX Digital, totaled $5 million.</w:t>
      </w:r>
    </w:p>
    <w:p>
      <w:pPr>
        <w:spacing w:after="0" w:line="123" w:lineRule="exact"/>
        <w:rPr>
          <w:rFonts w:ascii="Arial" w:cs="Arial" w:eastAsia="Arial" w:hAnsi="Arial"/>
          <w:sz w:val="12"/>
          <w:szCs w:val="12"/>
          <w:color w:val="auto"/>
        </w:rPr>
      </w:pPr>
    </w:p>
    <w:p>
      <w:pPr>
        <w:ind w:left="640" w:hanging="324"/>
        <w:spacing w:after="0"/>
        <w:tabs>
          <w:tab w:leader="none" w:pos="640" w:val="left"/>
        </w:tabs>
        <w:numPr>
          <w:ilvl w:val="0"/>
          <w:numId w:val="3"/>
        </w:numPr>
        <w:rPr>
          <w:rFonts w:ascii="Arial" w:cs="Arial" w:eastAsia="Arial" w:hAnsi="Arial"/>
          <w:sz w:val="12"/>
          <w:szCs w:val="12"/>
          <w:color w:val="auto"/>
        </w:rPr>
      </w:pPr>
      <w:r>
        <w:rPr>
          <w:rFonts w:ascii="Arial" w:cs="Arial" w:eastAsia="Arial" w:hAnsi="Arial"/>
          <w:sz w:val="12"/>
          <w:szCs w:val="12"/>
          <w:color w:val="auto"/>
        </w:rPr>
        <w:t>Total Print Revenue was $54 million.</w:t>
      </w:r>
    </w:p>
    <w:p>
      <w:pPr>
        <w:spacing w:after="0" w:line="131" w:lineRule="exact"/>
        <w:rPr>
          <w:rFonts w:ascii="Arial" w:cs="Arial" w:eastAsia="Arial" w:hAnsi="Arial"/>
          <w:sz w:val="12"/>
          <w:szCs w:val="12"/>
          <w:color w:val="auto"/>
        </w:rPr>
      </w:pPr>
    </w:p>
    <w:p>
      <w:pPr>
        <w:jc w:val="both"/>
        <w:ind w:left="640" w:hanging="324"/>
        <w:spacing w:after="0" w:line="228" w:lineRule="auto"/>
        <w:tabs>
          <w:tab w:leader="none" w:pos="637" w:val="left"/>
        </w:tabs>
        <w:numPr>
          <w:ilvl w:val="0"/>
          <w:numId w:val="3"/>
        </w:numPr>
        <w:rPr>
          <w:rFonts w:ascii="Arial" w:cs="Arial" w:eastAsia="Arial" w:hAnsi="Arial"/>
          <w:sz w:val="12"/>
          <w:szCs w:val="12"/>
          <w:color w:val="auto"/>
        </w:rPr>
      </w:pPr>
      <w:r>
        <w:rPr>
          <w:rFonts w:ascii="Arial" w:cs="Arial" w:eastAsia="Arial" w:hAnsi="Arial"/>
          <w:sz w:val="12"/>
          <w:szCs w:val="12"/>
          <w:color w:val="auto"/>
        </w:rPr>
        <w:t>Operating expenses totaled $114 million and Cash Costs</w:t>
      </w:r>
      <w:r>
        <w:rPr>
          <w:rFonts w:ascii="Arial" w:cs="Arial" w:eastAsia="Arial" w:hAnsi="Arial"/>
          <w:sz w:val="15"/>
          <w:szCs w:val="15"/>
          <w:color w:val="auto"/>
          <w:vertAlign w:val="superscript"/>
        </w:rPr>
        <w:t>(1)</w:t>
      </w:r>
      <w:r>
        <w:rPr>
          <w:rFonts w:ascii="Arial" w:cs="Arial" w:eastAsia="Arial" w:hAnsi="Arial"/>
          <w:sz w:val="12"/>
          <w:szCs w:val="12"/>
          <w:color w:val="auto"/>
        </w:rPr>
        <w:t xml:space="preserve"> totaled $112 million, representing 20% and 15% decreases compared to the prior year, respectively. During the quarter, operating expenses were reduced by $4 million due to business interruption insurance recoveries</w:t>
      </w:r>
      <w:r>
        <w:rPr>
          <w:rFonts w:ascii="Arial" w:cs="Arial" w:eastAsia="Arial" w:hAnsi="Arial"/>
          <w:sz w:val="15"/>
          <w:szCs w:val="15"/>
          <w:color w:val="auto"/>
          <w:vertAlign w:val="superscript"/>
        </w:rPr>
        <w:t>(6)</w:t>
      </w:r>
      <w:r>
        <w:rPr>
          <w:rFonts w:ascii="Arial" w:cs="Arial" w:eastAsia="Arial" w:hAnsi="Arial"/>
          <w:sz w:val="12"/>
          <w:szCs w:val="12"/>
          <w:color w:val="auto"/>
        </w:rPr>
        <w:t>, recorded in the Insurance proceeds line item and included in Adjusted EBITDA. Operating expenses were further reduced by $1 million from insurance recoveries related to expenses incurred in response to the prior year cyber incident, recorded in Restructuring costs and other. Excluding these business interruption insurance proceeds and expense reimbursements, operating expenses decreased 17% compared to the prior year.</w:t>
      </w:r>
    </w:p>
    <w:p>
      <w:pPr>
        <w:spacing w:after="0" w:line="104" w:lineRule="exact"/>
        <w:rPr>
          <w:rFonts w:ascii="Arial" w:cs="Arial" w:eastAsia="Arial" w:hAnsi="Arial"/>
          <w:sz w:val="12"/>
          <w:szCs w:val="12"/>
          <w:color w:val="auto"/>
        </w:rPr>
      </w:pPr>
    </w:p>
    <w:p>
      <w:pPr>
        <w:ind w:left="640" w:hanging="324"/>
        <w:spacing w:after="0"/>
        <w:tabs>
          <w:tab w:leader="none" w:pos="640" w:val="left"/>
        </w:tabs>
        <w:numPr>
          <w:ilvl w:val="0"/>
          <w:numId w:val="3"/>
        </w:numPr>
        <w:rPr>
          <w:rFonts w:ascii="Arial" w:cs="Arial" w:eastAsia="Arial" w:hAnsi="Arial"/>
          <w:sz w:val="12"/>
          <w:szCs w:val="12"/>
          <w:color w:val="auto"/>
        </w:rPr>
      </w:pPr>
      <w:r>
        <w:rPr>
          <w:rFonts w:ascii="Arial" w:cs="Arial" w:eastAsia="Arial" w:hAnsi="Arial"/>
          <w:sz w:val="12"/>
          <w:szCs w:val="12"/>
          <w:color w:val="auto"/>
        </w:rPr>
        <w:t>Net loss totaled $2 million, an improvement of $10 million, or 86%, over the prior year quarter.</w:t>
      </w:r>
    </w:p>
    <w:p>
      <w:pPr>
        <w:spacing w:after="0" w:line="123" w:lineRule="exact"/>
        <w:rPr>
          <w:rFonts w:ascii="Arial" w:cs="Arial" w:eastAsia="Arial" w:hAnsi="Arial"/>
          <w:sz w:val="12"/>
          <w:szCs w:val="12"/>
          <w:color w:val="auto"/>
        </w:rPr>
      </w:pPr>
    </w:p>
    <w:p>
      <w:pPr>
        <w:ind w:left="640" w:hanging="324"/>
        <w:spacing w:after="0"/>
        <w:tabs>
          <w:tab w:leader="none" w:pos="640" w:val="left"/>
        </w:tabs>
        <w:numPr>
          <w:ilvl w:val="0"/>
          <w:numId w:val="3"/>
        </w:numPr>
        <w:rPr>
          <w:rFonts w:ascii="Arial" w:cs="Arial" w:eastAsia="Arial" w:hAnsi="Arial"/>
          <w:sz w:val="12"/>
          <w:szCs w:val="12"/>
          <w:color w:val="auto"/>
        </w:rPr>
      </w:pPr>
      <w:r>
        <w:rPr>
          <w:rFonts w:ascii="Arial" w:cs="Arial" w:eastAsia="Arial" w:hAnsi="Arial"/>
          <w:sz w:val="12"/>
          <w:szCs w:val="12"/>
          <w:color w:val="auto"/>
        </w:rPr>
        <w:t>Adjusted EBITDA totaled $15 million, an increase of $7 million, or 95%, over the prior year quarter.</w:t>
      </w:r>
    </w:p>
    <w:p>
      <w:pPr>
        <w:spacing w:after="0" w:line="296"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2026 Fiscal Year Outlook:</w:t>
      </w:r>
    </w:p>
    <w:p>
      <w:pPr>
        <w:spacing w:after="0" w:line="148" w:lineRule="exact"/>
        <w:rPr>
          <w:sz w:val="20"/>
          <w:szCs w:val="20"/>
          <w:color w:val="auto"/>
        </w:rPr>
      </w:pPr>
    </w:p>
    <w:p>
      <w:pPr>
        <w:spacing w:after="0"/>
        <w:tabs>
          <w:tab w:leader="none" w:pos="2320" w:val="left"/>
        </w:tabs>
        <w:rPr>
          <w:sz w:val="20"/>
          <w:szCs w:val="20"/>
          <w:color w:val="auto"/>
        </w:rPr>
      </w:pPr>
      <w:r>
        <w:rPr>
          <w:rFonts w:ascii="Arial" w:cs="Arial" w:eastAsia="Arial" w:hAnsi="Arial"/>
          <w:sz w:val="12"/>
          <w:szCs w:val="12"/>
          <w:color w:val="auto"/>
        </w:rPr>
        <w:t>Adjusted EBITDA</w:t>
      </w:r>
      <w:r>
        <w:rPr>
          <w:sz w:val="20"/>
          <w:szCs w:val="20"/>
          <w:color w:val="auto"/>
        </w:rPr>
        <w:tab/>
      </w:r>
      <w:r>
        <w:rPr>
          <w:rFonts w:ascii="Arial" w:cs="Arial" w:eastAsia="Arial" w:hAnsi="Arial"/>
          <w:sz w:val="12"/>
          <w:szCs w:val="12"/>
          <w:color w:val="auto"/>
        </w:rPr>
        <w:t>YOY growth in the mid-single digits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-84455</wp:posOffset>
            </wp:positionV>
            <wp:extent cx="7178040" cy="971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8040" cy="97155"/>
                    </a:xfrm>
                    <a:prstGeom prst="rect">
                      <a:avLst/>
                    </a:prstGeom>
                    <a:noFill/>
                  </pic:spPr>
                </pic:pic>
              </a:graphicData>
            </a:graphic>
          </wp:anchor>
        </w:drawing>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Debt and Free Cash Flow:</w:t>
      </w:r>
    </w:p>
    <w:p>
      <w:pPr>
        <w:spacing w:after="0" w:line="130" w:lineRule="exact"/>
        <w:rPr>
          <w:sz w:val="20"/>
          <w:szCs w:val="20"/>
          <w:color w:val="auto"/>
        </w:rPr>
      </w:pPr>
    </w:p>
    <w:p>
      <w:pPr>
        <w:jc w:val="both"/>
        <w:spacing w:after="0" w:line="274" w:lineRule="auto"/>
        <w:rPr>
          <w:sz w:val="20"/>
          <w:szCs w:val="20"/>
          <w:color w:val="auto"/>
        </w:rPr>
      </w:pPr>
      <w:r>
        <w:rPr>
          <w:rFonts w:ascii="Arial" w:cs="Arial" w:eastAsia="Arial" w:hAnsi="Arial"/>
          <w:sz w:val="12"/>
          <w:szCs w:val="12"/>
          <w:color w:val="auto"/>
        </w:rPr>
        <w:t>The Company has $455 million of debt outstanding under our Credit Agreement with BH Finance. The financing has favorable terms including a 25-year maturity, a fixed annual interest rate, no fixed principal payments, and no financial performance covenants. The $50 million private placement of common stock closed in February 2026 made operative certain amendments to the Credit Agreement with BH Finance, resulting in the fixed annual interest rate dropping to 5% from 9% for a five-year period</w:t>
      </w:r>
      <w:r>
        <w:rPr>
          <w:rFonts w:ascii="Arial" w:cs="Arial" w:eastAsia="Arial" w:hAnsi="Arial"/>
          <w:sz w:val="15"/>
          <w:szCs w:val="15"/>
          <w:color w:val="auto"/>
          <w:vertAlign w:val="superscript"/>
        </w:rPr>
        <w:t>(3)</w:t>
      </w:r>
      <w:r>
        <w:rPr>
          <w:rFonts w:ascii="Arial" w:cs="Arial" w:eastAsia="Arial" w:hAnsi="Arial"/>
          <w:sz w:val="12"/>
          <w:szCs w:val="12"/>
          <w:color w:val="auto"/>
        </w:rPr>
        <w:t>.</w:t>
      </w:r>
    </w:p>
    <w:p>
      <w:pPr>
        <w:spacing w:after="0" w:line="37" w:lineRule="exact"/>
        <w:rPr>
          <w:sz w:val="20"/>
          <w:szCs w:val="20"/>
          <w:color w:val="auto"/>
        </w:rPr>
      </w:pPr>
    </w:p>
    <w:p>
      <w:pPr>
        <w:spacing w:after="0"/>
        <w:rPr>
          <w:sz w:val="20"/>
          <w:szCs w:val="20"/>
          <w:color w:val="auto"/>
        </w:rPr>
      </w:pPr>
      <w:r>
        <w:rPr>
          <w:rFonts w:ascii="Arial" w:cs="Arial" w:eastAsia="Arial" w:hAnsi="Arial"/>
          <w:sz w:val="12"/>
          <w:szCs w:val="12"/>
          <w:color w:val="auto"/>
        </w:rPr>
        <w:t>As of and for the period ended March 29, 2026:</w:t>
      </w:r>
    </w:p>
    <w:p>
      <w:pPr>
        <w:spacing w:after="0" w:line="123" w:lineRule="exact"/>
        <w:rPr>
          <w:sz w:val="20"/>
          <w:szCs w:val="20"/>
          <w:color w:val="auto"/>
        </w:rPr>
      </w:pPr>
    </w:p>
    <w:p>
      <w:pPr>
        <w:ind w:left="640" w:hanging="324"/>
        <w:spacing w:after="0"/>
        <w:tabs>
          <w:tab w:leader="none" w:pos="640" w:val="left"/>
        </w:tabs>
        <w:numPr>
          <w:ilvl w:val="0"/>
          <w:numId w:val="4"/>
        </w:numPr>
        <w:rPr>
          <w:rFonts w:ascii="Arial" w:cs="Arial" w:eastAsia="Arial" w:hAnsi="Arial"/>
          <w:sz w:val="12"/>
          <w:szCs w:val="12"/>
          <w:color w:val="auto"/>
        </w:rPr>
      </w:pPr>
      <w:r>
        <w:rPr>
          <w:rFonts w:ascii="Arial" w:cs="Arial" w:eastAsia="Arial" w:hAnsi="Arial"/>
          <w:sz w:val="12"/>
          <w:szCs w:val="12"/>
          <w:color w:val="auto"/>
        </w:rPr>
        <w:t>The principal amount of debt totaled $455 million.</w:t>
      </w:r>
    </w:p>
    <w:p>
      <w:pPr>
        <w:spacing w:after="0" w:line="18" w:lineRule="exact"/>
        <w:rPr>
          <w:rFonts w:ascii="Arial" w:cs="Arial" w:eastAsia="Arial" w:hAnsi="Arial"/>
          <w:sz w:val="12"/>
          <w:szCs w:val="12"/>
          <w:color w:val="auto"/>
        </w:rPr>
      </w:pPr>
    </w:p>
    <w:p>
      <w:pPr>
        <w:ind w:left="640" w:hanging="324"/>
        <w:spacing w:after="0"/>
        <w:tabs>
          <w:tab w:leader="none" w:pos="640" w:val="left"/>
        </w:tabs>
        <w:numPr>
          <w:ilvl w:val="0"/>
          <w:numId w:val="4"/>
        </w:numPr>
        <w:rPr>
          <w:rFonts w:ascii="Arial" w:cs="Arial" w:eastAsia="Arial" w:hAnsi="Arial"/>
          <w:sz w:val="12"/>
          <w:szCs w:val="12"/>
          <w:color w:val="auto"/>
        </w:rPr>
      </w:pPr>
      <w:r>
        <w:rPr>
          <w:rFonts w:ascii="Arial" w:cs="Arial" w:eastAsia="Arial" w:hAnsi="Arial"/>
          <w:sz w:val="12"/>
          <w:szCs w:val="12"/>
          <w:color w:val="auto"/>
        </w:rPr>
        <w:t>Cash on the balance sheet totaled $53 million. Debt, net of cash on the balance sheet, totaled $402 million.</w:t>
      </w:r>
    </w:p>
    <w:p>
      <w:pPr>
        <w:spacing w:after="0" w:line="6" w:lineRule="exact"/>
        <w:rPr>
          <w:rFonts w:ascii="Arial" w:cs="Arial" w:eastAsia="Arial" w:hAnsi="Arial"/>
          <w:sz w:val="12"/>
          <w:szCs w:val="12"/>
          <w:color w:val="auto"/>
        </w:rPr>
      </w:pPr>
    </w:p>
    <w:p>
      <w:pPr>
        <w:ind w:left="640" w:hanging="324"/>
        <w:spacing w:after="0"/>
        <w:tabs>
          <w:tab w:leader="none" w:pos="640" w:val="left"/>
        </w:tabs>
        <w:numPr>
          <w:ilvl w:val="0"/>
          <w:numId w:val="4"/>
        </w:numPr>
        <w:rPr>
          <w:rFonts w:ascii="Arial" w:cs="Arial" w:eastAsia="Arial" w:hAnsi="Arial"/>
          <w:sz w:val="12"/>
          <w:szCs w:val="12"/>
          <w:color w:val="auto"/>
        </w:rPr>
      </w:pPr>
      <w:r>
        <w:rPr>
          <w:rFonts w:ascii="Arial" w:cs="Arial" w:eastAsia="Arial" w:hAnsi="Arial"/>
          <w:sz w:val="12"/>
          <w:szCs w:val="12"/>
          <w:color w:val="auto"/>
        </w:rPr>
        <w:t>Capital expenditures totaled $1 million for the quarter. We expect up to $8 million of capital expenditures in FY26.</w:t>
      </w:r>
    </w:p>
    <w:p>
      <w:pPr>
        <w:spacing w:after="0" w:line="6" w:lineRule="exact"/>
        <w:rPr>
          <w:rFonts w:ascii="Arial" w:cs="Arial" w:eastAsia="Arial" w:hAnsi="Arial"/>
          <w:sz w:val="12"/>
          <w:szCs w:val="12"/>
          <w:color w:val="auto"/>
        </w:rPr>
      </w:pPr>
    </w:p>
    <w:p>
      <w:pPr>
        <w:ind w:left="640" w:hanging="324"/>
        <w:spacing w:after="0"/>
        <w:tabs>
          <w:tab w:leader="none" w:pos="640" w:val="left"/>
        </w:tabs>
        <w:numPr>
          <w:ilvl w:val="0"/>
          <w:numId w:val="4"/>
        </w:numPr>
        <w:rPr>
          <w:rFonts w:ascii="Arial" w:cs="Arial" w:eastAsia="Arial" w:hAnsi="Arial"/>
          <w:sz w:val="12"/>
          <w:szCs w:val="12"/>
          <w:color w:val="auto"/>
        </w:rPr>
      </w:pPr>
      <w:r>
        <w:rPr>
          <w:rFonts w:ascii="Arial" w:cs="Arial" w:eastAsia="Arial" w:hAnsi="Arial"/>
          <w:sz w:val="12"/>
          <w:szCs w:val="12"/>
          <w:color w:val="auto"/>
        </w:rPr>
        <w:t>We expect cash paid for income taxes to total between $2 million and $8 million in FY26.</w:t>
      </w:r>
    </w:p>
    <w:p>
      <w:pPr>
        <w:spacing w:after="0" w:line="6" w:lineRule="exact"/>
        <w:rPr>
          <w:rFonts w:ascii="Arial" w:cs="Arial" w:eastAsia="Arial" w:hAnsi="Arial"/>
          <w:sz w:val="12"/>
          <w:szCs w:val="12"/>
          <w:color w:val="auto"/>
        </w:rPr>
      </w:pPr>
    </w:p>
    <w:p>
      <w:pPr>
        <w:ind w:left="640" w:hanging="324"/>
        <w:spacing w:after="0"/>
        <w:tabs>
          <w:tab w:leader="none" w:pos="640" w:val="left"/>
        </w:tabs>
        <w:numPr>
          <w:ilvl w:val="0"/>
          <w:numId w:val="4"/>
        </w:numPr>
        <w:rPr>
          <w:rFonts w:ascii="Arial" w:cs="Arial" w:eastAsia="Arial" w:hAnsi="Arial"/>
          <w:sz w:val="12"/>
          <w:szCs w:val="12"/>
          <w:color w:val="auto"/>
        </w:rPr>
      </w:pPr>
      <w:r>
        <w:rPr>
          <w:rFonts w:ascii="Arial" w:cs="Arial" w:eastAsia="Arial" w:hAnsi="Arial"/>
          <w:sz w:val="12"/>
          <w:szCs w:val="12"/>
          <w:color w:val="auto"/>
        </w:rPr>
        <w:t>We do not expect any pension contributions in the fiscal year.</w:t>
      </w:r>
    </w:p>
    <w:p>
      <w:pPr>
        <w:spacing w:after="0" w:line="6" w:lineRule="exact"/>
        <w:rPr>
          <w:rFonts w:ascii="Arial" w:cs="Arial" w:eastAsia="Arial" w:hAnsi="Arial"/>
          <w:sz w:val="12"/>
          <w:szCs w:val="12"/>
          <w:color w:val="auto"/>
        </w:rPr>
      </w:pPr>
    </w:p>
    <w:p>
      <w:pPr>
        <w:ind w:left="640" w:right="20" w:hanging="324"/>
        <w:spacing w:after="0" w:line="265" w:lineRule="auto"/>
        <w:tabs>
          <w:tab w:leader="none" w:pos="637" w:val="left"/>
        </w:tabs>
        <w:numPr>
          <w:ilvl w:val="0"/>
          <w:numId w:val="4"/>
        </w:numPr>
        <w:rPr>
          <w:rFonts w:ascii="Arial" w:cs="Arial" w:eastAsia="Arial" w:hAnsi="Arial"/>
          <w:sz w:val="12"/>
          <w:szCs w:val="12"/>
          <w:color w:val="auto"/>
        </w:rPr>
      </w:pPr>
      <w:r>
        <w:rPr>
          <w:rFonts w:ascii="Arial" w:cs="Arial" w:eastAsia="Arial" w:hAnsi="Arial"/>
          <w:sz w:val="12"/>
          <w:szCs w:val="12"/>
          <w:color w:val="auto"/>
        </w:rPr>
        <w:t>The Company is executing a strategic termination of our fully funded benefit pension plan, eliminating the long-term volatility tied to interest rate movement, mortality assumptions and asset performance, while preserving participant benefits and improving balance sheet flexibility.</w:t>
      </w:r>
    </w:p>
    <w:p>
      <w:pPr>
        <w:spacing w:after="0" w:line="99"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Conference Call Information:</w:t>
      </w:r>
    </w:p>
    <w:p>
      <w:pPr>
        <w:spacing w:after="0" w:line="121" w:lineRule="exact"/>
        <w:rPr>
          <w:sz w:val="20"/>
          <w:szCs w:val="20"/>
          <w:color w:val="auto"/>
        </w:rPr>
      </w:pPr>
    </w:p>
    <w:p>
      <w:pPr>
        <w:spacing w:after="0" w:line="286" w:lineRule="auto"/>
        <w:rPr>
          <w:sz w:val="20"/>
          <w:szCs w:val="20"/>
          <w:color w:val="auto"/>
        </w:rPr>
      </w:pPr>
      <w:r>
        <w:rPr>
          <w:rFonts w:ascii="Arial" w:cs="Arial" w:eastAsia="Arial" w:hAnsi="Arial"/>
          <w:sz w:val="12"/>
          <w:szCs w:val="12"/>
          <w:color w:val="auto"/>
        </w:rPr>
        <w:t>As previously announced, we will hold an earnings conference call and audio webcast today at 9 a.m. Central Time. The live webcast will be accessible at www.lee.net and will be available for replay 24 hours later. Questions from other participants may be submitted by participating in the webcast. To participate in the live</w:t>
      </w: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w:t>
      </w:r>
    </w:p>
    <w:p>
      <w:pPr>
        <w:sectPr>
          <w:pgSz w:w="11900" w:h="16838" w:orient="portrait"/>
          <w:cols w:equalWidth="0" w:num="1">
            <w:col w:w="11300"/>
          </w:cols>
          <w:pgMar w:left="300" w:top="784" w:right="299" w:bottom="1440" w:gutter="0" w:footer="0" w:header="0"/>
        </w:sectPr>
      </w:pPr>
    </w:p>
    <w:bookmarkStart w:id="5" w:name="page6"/>
    <w:bookmarkEnd w:id="5"/>
    <w:p>
      <w:pPr>
        <w:spacing w:after="0"/>
        <w:rPr>
          <w:sz w:val="20"/>
          <w:szCs w:val="20"/>
          <w:color w:val="auto"/>
        </w:rPr>
      </w:pPr>
      <w:r>
        <w:rPr>
          <w:rFonts w:ascii="Arial" w:cs="Arial" w:eastAsia="Arial" w:hAnsi="Arial"/>
          <w:sz w:val="12"/>
          <w:szCs w:val="12"/>
          <w:color w:val="auto"/>
        </w:rPr>
        <w:t>conference call via telephone, please register at www.lee.net. Upon registering, a dial-in number and unique PIN will be provided to join the conference call.</w:t>
      </w:r>
    </w:p>
    <w:p>
      <w:pPr>
        <w:spacing w:after="0" w:line="296"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About Lee:</w:t>
      </w:r>
    </w:p>
    <w:p>
      <w:pPr>
        <w:spacing w:after="0" w:line="121" w:lineRule="exact"/>
        <w:rPr>
          <w:sz w:val="20"/>
          <w:szCs w:val="20"/>
          <w:color w:val="auto"/>
        </w:rPr>
      </w:pPr>
    </w:p>
    <w:p>
      <w:pPr>
        <w:jc w:val="both"/>
        <w:spacing w:after="0" w:line="268" w:lineRule="auto"/>
        <w:rPr>
          <w:sz w:val="20"/>
          <w:szCs w:val="20"/>
          <w:color w:val="auto"/>
        </w:rPr>
      </w:pPr>
      <w:r>
        <w:rPr>
          <w:rFonts w:ascii="Arial" w:cs="Arial" w:eastAsia="Arial" w:hAnsi="Arial"/>
          <w:sz w:val="12"/>
          <w:szCs w:val="12"/>
          <w:color w:val="auto"/>
        </w:rPr>
        <w:t xml:space="preserve">Lee Enterprises is a leading provider of local news and information and a major subscription and advertising platform, with daily and weekly newspapers and rapidly expanding digital products serving 114 markets across 25 states. Lee's markets include St. Louis, MO; Buffalo, NY; Omaha, NE; Richmond, VA; Lincoln, NE; Madison, WI; Davenport, IA; and Tucson, AZ. Lee Common Stock is traded on NASDAQ under the symbol LEE. For more information about Lee, please visit </w:t>
      </w:r>
      <w:r>
        <w:rPr>
          <w:rFonts w:ascii="Arial" w:cs="Arial" w:eastAsia="Arial" w:hAnsi="Arial"/>
          <w:sz w:val="12"/>
          <w:szCs w:val="12"/>
          <w:u w:val="single" w:color="auto"/>
          <w:color w:val="auto"/>
        </w:rPr>
        <w:t>www.lee.net</w:t>
      </w:r>
      <w:r>
        <w:rPr>
          <w:rFonts w:ascii="Arial" w:cs="Arial" w:eastAsia="Arial" w:hAnsi="Arial"/>
          <w:sz w:val="12"/>
          <w:szCs w:val="12"/>
          <w:color w:val="auto"/>
        </w:rPr>
        <w:t>.</w:t>
      </w:r>
    </w:p>
    <w:p>
      <w:pPr>
        <w:spacing w:after="0" w:line="114" w:lineRule="exact"/>
        <w:rPr>
          <w:sz w:val="20"/>
          <w:szCs w:val="20"/>
          <w:color w:val="auto"/>
        </w:rPr>
      </w:pPr>
    </w:p>
    <w:p>
      <w:pPr>
        <w:jc w:val="both"/>
        <w:spacing w:after="0" w:line="268" w:lineRule="auto"/>
        <w:rPr>
          <w:sz w:val="20"/>
          <w:szCs w:val="20"/>
          <w:color w:val="auto"/>
        </w:rPr>
      </w:pPr>
      <w:r>
        <w:rPr>
          <w:rFonts w:ascii="Arial" w:cs="Arial" w:eastAsia="Arial" w:hAnsi="Arial"/>
          <w:sz w:val="12"/>
          <w:szCs w:val="12"/>
          <w:color w:val="auto"/>
        </w:rPr>
        <w:t>FORWARD-LOOKING STATEMENTS — The Private Securities Litigation Reform Act of 1995 provides a “safe harbor” for forward-looking statements. This release contains information that may be deemed forward-looking that is based largely on our current expectations, and is subject to certain risks, trends and uncertainties that could cause actual results to differ materially from those anticipated. Among such risks, trends and other uncertainties, which in some instances are beyond our control, are:</w:t>
      </w:r>
    </w:p>
    <w:p>
      <w:pPr>
        <w:spacing w:after="0" w:line="276" w:lineRule="exact"/>
        <w:rPr>
          <w:sz w:val="20"/>
          <w:szCs w:val="20"/>
          <w:color w:val="auto"/>
        </w:rPr>
      </w:pPr>
    </w:p>
    <w:p>
      <w:pPr>
        <w:ind w:left="640" w:hanging="324"/>
        <w:spacing w:after="0"/>
        <w:tabs>
          <w:tab w:leader="none" w:pos="640" w:val="left"/>
        </w:tabs>
        <w:numPr>
          <w:ilvl w:val="0"/>
          <w:numId w:val="5"/>
        </w:numPr>
        <w:rPr>
          <w:rFonts w:ascii="Arial" w:cs="Arial" w:eastAsia="Arial" w:hAnsi="Arial"/>
          <w:sz w:val="12"/>
          <w:szCs w:val="12"/>
          <w:color w:val="auto"/>
        </w:rPr>
      </w:pPr>
      <w:r>
        <w:rPr>
          <w:rFonts w:ascii="Arial" w:cs="Arial" w:eastAsia="Arial" w:hAnsi="Arial"/>
          <w:sz w:val="12"/>
          <w:szCs w:val="12"/>
          <w:color w:val="auto"/>
        </w:rPr>
        <w:t>Our ability to manage declining print revenue and circulation subscribers;</w:t>
      </w:r>
    </w:p>
    <w:p>
      <w:pPr>
        <w:spacing w:after="0" w:line="18" w:lineRule="exact"/>
        <w:rPr>
          <w:rFonts w:ascii="Arial" w:cs="Arial" w:eastAsia="Arial" w:hAnsi="Arial"/>
          <w:sz w:val="12"/>
          <w:szCs w:val="12"/>
          <w:color w:val="auto"/>
        </w:rPr>
      </w:pPr>
    </w:p>
    <w:p>
      <w:pPr>
        <w:ind w:left="640" w:hanging="324"/>
        <w:spacing w:after="0"/>
        <w:tabs>
          <w:tab w:leader="none" w:pos="640" w:val="left"/>
        </w:tabs>
        <w:numPr>
          <w:ilvl w:val="0"/>
          <w:numId w:val="5"/>
        </w:numPr>
        <w:rPr>
          <w:rFonts w:ascii="Arial" w:cs="Arial" w:eastAsia="Arial" w:hAnsi="Arial"/>
          <w:sz w:val="12"/>
          <w:szCs w:val="12"/>
          <w:color w:val="auto"/>
        </w:rPr>
      </w:pPr>
      <w:r>
        <w:rPr>
          <w:rFonts w:ascii="Arial" w:cs="Arial" w:eastAsia="Arial" w:hAnsi="Arial"/>
          <w:sz w:val="12"/>
          <w:szCs w:val="12"/>
          <w:color w:val="auto"/>
        </w:rPr>
        <w:t>The impact and duration of adverse conditions in certain aspects of the economy affecting our business;</w:t>
      </w:r>
    </w:p>
    <w:p>
      <w:pPr>
        <w:spacing w:after="0" w:line="6" w:lineRule="exact"/>
        <w:rPr>
          <w:rFonts w:ascii="Arial" w:cs="Arial" w:eastAsia="Arial" w:hAnsi="Arial"/>
          <w:sz w:val="12"/>
          <w:szCs w:val="12"/>
          <w:color w:val="auto"/>
        </w:rPr>
      </w:pPr>
    </w:p>
    <w:p>
      <w:pPr>
        <w:ind w:left="640" w:hanging="324"/>
        <w:spacing w:after="0"/>
        <w:tabs>
          <w:tab w:leader="none" w:pos="640" w:val="left"/>
        </w:tabs>
        <w:numPr>
          <w:ilvl w:val="0"/>
          <w:numId w:val="5"/>
        </w:numPr>
        <w:rPr>
          <w:rFonts w:ascii="Arial" w:cs="Arial" w:eastAsia="Arial" w:hAnsi="Arial"/>
          <w:sz w:val="12"/>
          <w:szCs w:val="12"/>
          <w:color w:val="auto"/>
        </w:rPr>
      </w:pPr>
      <w:r>
        <w:rPr>
          <w:rFonts w:ascii="Arial" w:cs="Arial" w:eastAsia="Arial" w:hAnsi="Arial"/>
          <w:sz w:val="12"/>
          <w:szCs w:val="12"/>
          <w:color w:val="auto"/>
        </w:rPr>
        <w:t>Changes in advertising and subscription demand;</w:t>
      </w:r>
    </w:p>
    <w:p>
      <w:pPr>
        <w:spacing w:after="0" w:line="6" w:lineRule="exact"/>
        <w:rPr>
          <w:rFonts w:ascii="Arial" w:cs="Arial" w:eastAsia="Arial" w:hAnsi="Arial"/>
          <w:sz w:val="12"/>
          <w:szCs w:val="12"/>
          <w:color w:val="auto"/>
        </w:rPr>
      </w:pPr>
    </w:p>
    <w:p>
      <w:pPr>
        <w:ind w:left="640" w:hanging="324"/>
        <w:spacing w:after="0"/>
        <w:tabs>
          <w:tab w:leader="none" w:pos="640" w:val="left"/>
        </w:tabs>
        <w:numPr>
          <w:ilvl w:val="0"/>
          <w:numId w:val="5"/>
        </w:numPr>
        <w:rPr>
          <w:rFonts w:ascii="Arial" w:cs="Arial" w:eastAsia="Arial" w:hAnsi="Arial"/>
          <w:sz w:val="12"/>
          <w:szCs w:val="12"/>
          <w:color w:val="auto"/>
        </w:rPr>
      </w:pPr>
      <w:r>
        <w:rPr>
          <w:rFonts w:ascii="Arial" w:cs="Arial" w:eastAsia="Arial" w:hAnsi="Arial"/>
          <w:sz w:val="12"/>
          <w:szCs w:val="12"/>
          <w:color w:val="auto"/>
        </w:rPr>
        <w:t>Changes in technology that impact our ability to deliver digital advertising;</w:t>
      </w:r>
    </w:p>
    <w:p>
      <w:pPr>
        <w:spacing w:after="0" w:line="6" w:lineRule="exact"/>
        <w:rPr>
          <w:rFonts w:ascii="Arial" w:cs="Arial" w:eastAsia="Arial" w:hAnsi="Arial"/>
          <w:sz w:val="12"/>
          <w:szCs w:val="12"/>
          <w:color w:val="auto"/>
        </w:rPr>
      </w:pPr>
    </w:p>
    <w:p>
      <w:pPr>
        <w:ind w:left="640" w:hanging="324"/>
        <w:spacing w:after="0"/>
        <w:tabs>
          <w:tab w:leader="none" w:pos="640" w:val="left"/>
        </w:tabs>
        <w:numPr>
          <w:ilvl w:val="0"/>
          <w:numId w:val="5"/>
        </w:numPr>
        <w:rPr>
          <w:rFonts w:ascii="Arial" w:cs="Arial" w:eastAsia="Arial" w:hAnsi="Arial"/>
          <w:sz w:val="12"/>
          <w:szCs w:val="12"/>
          <w:color w:val="auto"/>
        </w:rPr>
      </w:pPr>
      <w:r>
        <w:rPr>
          <w:rFonts w:ascii="Arial" w:cs="Arial" w:eastAsia="Arial" w:hAnsi="Arial"/>
          <w:sz w:val="12"/>
          <w:szCs w:val="12"/>
          <w:color w:val="auto"/>
        </w:rPr>
        <w:t>Potential changes in newsprint, other commodities and energy costs;</w:t>
      </w:r>
    </w:p>
    <w:p>
      <w:pPr>
        <w:spacing w:after="0" w:line="6" w:lineRule="exact"/>
        <w:rPr>
          <w:rFonts w:ascii="Arial" w:cs="Arial" w:eastAsia="Arial" w:hAnsi="Arial"/>
          <w:sz w:val="12"/>
          <w:szCs w:val="12"/>
          <w:color w:val="auto"/>
        </w:rPr>
      </w:pPr>
    </w:p>
    <w:p>
      <w:pPr>
        <w:ind w:left="640" w:hanging="324"/>
        <w:spacing w:after="0"/>
        <w:tabs>
          <w:tab w:leader="none" w:pos="640" w:val="left"/>
        </w:tabs>
        <w:numPr>
          <w:ilvl w:val="0"/>
          <w:numId w:val="5"/>
        </w:numPr>
        <w:rPr>
          <w:rFonts w:ascii="Arial" w:cs="Arial" w:eastAsia="Arial" w:hAnsi="Arial"/>
          <w:sz w:val="12"/>
          <w:szCs w:val="12"/>
          <w:color w:val="auto"/>
        </w:rPr>
      </w:pPr>
      <w:r>
        <w:rPr>
          <w:rFonts w:ascii="Arial" w:cs="Arial" w:eastAsia="Arial" w:hAnsi="Arial"/>
          <w:sz w:val="12"/>
          <w:szCs w:val="12"/>
          <w:color w:val="auto"/>
        </w:rPr>
        <w:t>Interest rates;</w:t>
      </w:r>
    </w:p>
    <w:p>
      <w:pPr>
        <w:spacing w:after="0" w:line="6" w:lineRule="exact"/>
        <w:rPr>
          <w:rFonts w:ascii="Arial" w:cs="Arial" w:eastAsia="Arial" w:hAnsi="Arial"/>
          <w:sz w:val="12"/>
          <w:szCs w:val="12"/>
          <w:color w:val="auto"/>
        </w:rPr>
      </w:pPr>
    </w:p>
    <w:p>
      <w:pPr>
        <w:ind w:left="640" w:hanging="324"/>
        <w:spacing w:after="0"/>
        <w:tabs>
          <w:tab w:leader="none" w:pos="640" w:val="left"/>
        </w:tabs>
        <w:numPr>
          <w:ilvl w:val="0"/>
          <w:numId w:val="5"/>
        </w:numPr>
        <w:rPr>
          <w:rFonts w:ascii="Arial" w:cs="Arial" w:eastAsia="Arial" w:hAnsi="Arial"/>
          <w:sz w:val="12"/>
          <w:szCs w:val="12"/>
          <w:color w:val="auto"/>
        </w:rPr>
      </w:pPr>
      <w:r>
        <w:rPr>
          <w:rFonts w:ascii="Arial" w:cs="Arial" w:eastAsia="Arial" w:hAnsi="Arial"/>
          <w:sz w:val="12"/>
          <w:szCs w:val="12"/>
          <w:color w:val="auto"/>
        </w:rPr>
        <w:t>Labor costs;</w:t>
      </w:r>
    </w:p>
    <w:p>
      <w:pPr>
        <w:spacing w:after="0" w:line="6" w:lineRule="exact"/>
        <w:rPr>
          <w:rFonts w:ascii="Arial" w:cs="Arial" w:eastAsia="Arial" w:hAnsi="Arial"/>
          <w:sz w:val="12"/>
          <w:szCs w:val="12"/>
          <w:color w:val="auto"/>
        </w:rPr>
      </w:pPr>
    </w:p>
    <w:p>
      <w:pPr>
        <w:ind w:left="640" w:hanging="324"/>
        <w:spacing w:after="0"/>
        <w:tabs>
          <w:tab w:leader="none" w:pos="640" w:val="left"/>
        </w:tabs>
        <w:numPr>
          <w:ilvl w:val="0"/>
          <w:numId w:val="5"/>
        </w:numPr>
        <w:rPr>
          <w:rFonts w:ascii="Arial" w:cs="Arial" w:eastAsia="Arial" w:hAnsi="Arial"/>
          <w:sz w:val="12"/>
          <w:szCs w:val="12"/>
          <w:color w:val="auto"/>
        </w:rPr>
      </w:pPr>
      <w:r>
        <w:rPr>
          <w:rFonts w:ascii="Arial" w:cs="Arial" w:eastAsia="Arial" w:hAnsi="Arial"/>
          <w:sz w:val="12"/>
          <w:szCs w:val="12"/>
          <w:color w:val="auto"/>
        </w:rPr>
        <w:t>Significant cyber security breaches or failure of our information technology systems;</w:t>
      </w:r>
    </w:p>
    <w:p>
      <w:pPr>
        <w:spacing w:after="0" w:line="6" w:lineRule="exact"/>
        <w:rPr>
          <w:rFonts w:ascii="Arial" w:cs="Arial" w:eastAsia="Arial" w:hAnsi="Arial"/>
          <w:sz w:val="12"/>
          <w:szCs w:val="12"/>
          <w:color w:val="auto"/>
        </w:rPr>
      </w:pPr>
    </w:p>
    <w:p>
      <w:pPr>
        <w:ind w:left="640" w:hanging="324"/>
        <w:spacing w:after="0"/>
        <w:tabs>
          <w:tab w:leader="none" w:pos="640" w:val="left"/>
        </w:tabs>
        <w:numPr>
          <w:ilvl w:val="0"/>
          <w:numId w:val="5"/>
        </w:numPr>
        <w:rPr>
          <w:rFonts w:ascii="Arial" w:cs="Arial" w:eastAsia="Arial" w:hAnsi="Arial"/>
          <w:sz w:val="12"/>
          <w:szCs w:val="12"/>
          <w:color w:val="auto"/>
        </w:rPr>
      </w:pPr>
      <w:r>
        <w:rPr>
          <w:rFonts w:ascii="Arial" w:cs="Arial" w:eastAsia="Arial" w:hAnsi="Arial"/>
          <w:sz w:val="12"/>
          <w:szCs w:val="12"/>
          <w:color w:val="auto"/>
        </w:rPr>
        <w:t>Our ability to achieve planned expense reductions and realize the expected benefit of our acquisitions;</w:t>
      </w:r>
    </w:p>
    <w:p>
      <w:pPr>
        <w:spacing w:after="0" w:line="6" w:lineRule="exact"/>
        <w:rPr>
          <w:rFonts w:ascii="Arial" w:cs="Arial" w:eastAsia="Arial" w:hAnsi="Arial"/>
          <w:sz w:val="12"/>
          <w:szCs w:val="12"/>
          <w:color w:val="auto"/>
        </w:rPr>
      </w:pPr>
    </w:p>
    <w:p>
      <w:pPr>
        <w:ind w:left="640" w:hanging="324"/>
        <w:spacing w:after="0"/>
        <w:tabs>
          <w:tab w:leader="none" w:pos="640" w:val="left"/>
        </w:tabs>
        <w:numPr>
          <w:ilvl w:val="0"/>
          <w:numId w:val="5"/>
        </w:numPr>
        <w:rPr>
          <w:rFonts w:ascii="Arial" w:cs="Arial" w:eastAsia="Arial" w:hAnsi="Arial"/>
          <w:sz w:val="12"/>
          <w:szCs w:val="12"/>
          <w:color w:val="auto"/>
        </w:rPr>
      </w:pPr>
      <w:r>
        <w:rPr>
          <w:rFonts w:ascii="Arial" w:cs="Arial" w:eastAsia="Arial" w:hAnsi="Arial"/>
          <w:sz w:val="12"/>
          <w:szCs w:val="12"/>
          <w:color w:val="auto"/>
        </w:rPr>
        <w:t>Our ability to maintain employee and customer relationships;</w:t>
      </w:r>
    </w:p>
    <w:p>
      <w:pPr>
        <w:spacing w:after="0" w:line="6" w:lineRule="exact"/>
        <w:rPr>
          <w:rFonts w:ascii="Arial" w:cs="Arial" w:eastAsia="Arial" w:hAnsi="Arial"/>
          <w:sz w:val="12"/>
          <w:szCs w:val="12"/>
          <w:color w:val="auto"/>
        </w:rPr>
      </w:pPr>
    </w:p>
    <w:p>
      <w:pPr>
        <w:ind w:left="640" w:hanging="324"/>
        <w:spacing w:after="0"/>
        <w:tabs>
          <w:tab w:leader="none" w:pos="640" w:val="left"/>
        </w:tabs>
        <w:numPr>
          <w:ilvl w:val="0"/>
          <w:numId w:val="5"/>
        </w:numPr>
        <w:rPr>
          <w:rFonts w:ascii="Arial" w:cs="Arial" w:eastAsia="Arial" w:hAnsi="Arial"/>
          <w:sz w:val="12"/>
          <w:szCs w:val="12"/>
          <w:color w:val="auto"/>
        </w:rPr>
      </w:pPr>
      <w:r>
        <w:rPr>
          <w:rFonts w:ascii="Arial" w:cs="Arial" w:eastAsia="Arial" w:hAnsi="Arial"/>
          <w:sz w:val="12"/>
          <w:szCs w:val="12"/>
          <w:color w:val="auto"/>
        </w:rPr>
        <w:t>Our ability to manage increased capital costs;</w:t>
      </w:r>
    </w:p>
    <w:p>
      <w:pPr>
        <w:spacing w:after="0" w:line="6" w:lineRule="exact"/>
        <w:rPr>
          <w:rFonts w:ascii="Arial" w:cs="Arial" w:eastAsia="Arial" w:hAnsi="Arial"/>
          <w:sz w:val="12"/>
          <w:szCs w:val="12"/>
          <w:color w:val="auto"/>
        </w:rPr>
      </w:pPr>
    </w:p>
    <w:p>
      <w:pPr>
        <w:ind w:left="640" w:hanging="324"/>
        <w:spacing w:after="0"/>
        <w:tabs>
          <w:tab w:leader="none" w:pos="640" w:val="left"/>
        </w:tabs>
        <w:numPr>
          <w:ilvl w:val="0"/>
          <w:numId w:val="5"/>
        </w:numPr>
        <w:rPr>
          <w:rFonts w:ascii="Arial" w:cs="Arial" w:eastAsia="Arial" w:hAnsi="Arial"/>
          <w:sz w:val="12"/>
          <w:szCs w:val="12"/>
          <w:color w:val="auto"/>
        </w:rPr>
      </w:pPr>
      <w:r>
        <w:rPr>
          <w:rFonts w:ascii="Arial" w:cs="Arial" w:eastAsia="Arial" w:hAnsi="Arial"/>
          <w:sz w:val="12"/>
          <w:szCs w:val="12"/>
          <w:color w:val="auto"/>
        </w:rPr>
        <w:t>Our ability to maintain our listing status on NASDAQ;</w:t>
      </w:r>
    </w:p>
    <w:p>
      <w:pPr>
        <w:spacing w:after="0" w:line="6" w:lineRule="exact"/>
        <w:rPr>
          <w:rFonts w:ascii="Arial" w:cs="Arial" w:eastAsia="Arial" w:hAnsi="Arial"/>
          <w:sz w:val="12"/>
          <w:szCs w:val="12"/>
          <w:color w:val="auto"/>
        </w:rPr>
      </w:pPr>
    </w:p>
    <w:p>
      <w:pPr>
        <w:ind w:left="640" w:hanging="324"/>
        <w:spacing w:after="0"/>
        <w:tabs>
          <w:tab w:leader="none" w:pos="640" w:val="left"/>
        </w:tabs>
        <w:numPr>
          <w:ilvl w:val="0"/>
          <w:numId w:val="5"/>
        </w:numPr>
        <w:rPr>
          <w:rFonts w:ascii="Arial" w:cs="Arial" w:eastAsia="Arial" w:hAnsi="Arial"/>
          <w:sz w:val="12"/>
          <w:szCs w:val="12"/>
          <w:color w:val="auto"/>
        </w:rPr>
      </w:pPr>
      <w:r>
        <w:rPr>
          <w:rFonts w:ascii="Arial" w:cs="Arial" w:eastAsia="Arial" w:hAnsi="Arial"/>
          <w:sz w:val="12"/>
          <w:szCs w:val="12"/>
          <w:color w:val="auto"/>
        </w:rPr>
        <w:t>Competition;</w:t>
      </w:r>
    </w:p>
    <w:p>
      <w:pPr>
        <w:spacing w:after="0" w:line="6" w:lineRule="exact"/>
        <w:rPr>
          <w:rFonts w:ascii="Arial" w:cs="Arial" w:eastAsia="Arial" w:hAnsi="Arial"/>
          <w:sz w:val="12"/>
          <w:szCs w:val="12"/>
          <w:color w:val="auto"/>
        </w:rPr>
      </w:pPr>
    </w:p>
    <w:p>
      <w:pPr>
        <w:ind w:left="640" w:hanging="324"/>
        <w:spacing w:after="0"/>
        <w:tabs>
          <w:tab w:leader="none" w:pos="640" w:val="left"/>
        </w:tabs>
        <w:numPr>
          <w:ilvl w:val="0"/>
          <w:numId w:val="5"/>
        </w:numPr>
        <w:rPr>
          <w:rFonts w:ascii="Arial" w:cs="Arial" w:eastAsia="Arial" w:hAnsi="Arial"/>
          <w:sz w:val="12"/>
          <w:szCs w:val="12"/>
          <w:color w:val="auto"/>
        </w:rPr>
      </w:pPr>
      <w:r>
        <w:rPr>
          <w:rFonts w:ascii="Arial" w:cs="Arial" w:eastAsia="Arial" w:hAnsi="Arial"/>
          <w:sz w:val="12"/>
          <w:szCs w:val="12"/>
          <w:color w:val="auto"/>
        </w:rPr>
        <w:t>We may be required to indemnify the previous owners of BH Media or The Buffalo News for unknown legal and other matters that may arise;</w:t>
      </w:r>
    </w:p>
    <w:p>
      <w:pPr>
        <w:spacing w:after="0" w:line="6" w:lineRule="exact"/>
        <w:rPr>
          <w:rFonts w:ascii="Arial" w:cs="Arial" w:eastAsia="Arial" w:hAnsi="Arial"/>
          <w:sz w:val="12"/>
          <w:szCs w:val="12"/>
          <w:color w:val="auto"/>
        </w:rPr>
      </w:pPr>
    </w:p>
    <w:p>
      <w:pPr>
        <w:ind w:left="640" w:hanging="324"/>
        <w:spacing w:after="0"/>
        <w:tabs>
          <w:tab w:leader="none" w:pos="640" w:val="left"/>
        </w:tabs>
        <w:numPr>
          <w:ilvl w:val="0"/>
          <w:numId w:val="5"/>
        </w:numPr>
        <w:rPr>
          <w:rFonts w:ascii="Arial" w:cs="Arial" w:eastAsia="Arial" w:hAnsi="Arial"/>
          <w:sz w:val="12"/>
          <w:szCs w:val="12"/>
          <w:color w:val="auto"/>
        </w:rPr>
      </w:pPr>
      <w:r>
        <w:rPr>
          <w:rFonts w:ascii="Arial" w:cs="Arial" w:eastAsia="Arial" w:hAnsi="Arial"/>
          <w:sz w:val="12"/>
          <w:szCs w:val="12"/>
          <w:color w:val="auto"/>
        </w:rPr>
        <w:t>The impacts of changes to our leadership and corporate governance; and</w:t>
      </w:r>
    </w:p>
    <w:p>
      <w:pPr>
        <w:spacing w:after="0" w:line="6" w:lineRule="exact"/>
        <w:rPr>
          <w:rFonts w:ascii="Arial" w:cs="Arial" w:eastAsia="Arial" w:hAnsi="Arial"/>
          <w:sz w:val="12"/>
          <w:szCs w:val="12"/>
          <w:color w:val="auto"/>
        </w:rPr>
      </w:pPr>
    </w:p>
    <w:p>
      <w:pPr>
        <w:ind w:left="640" w:hanging="324"/>
        <w:spacing w:after="0"/>
        <w:tabs>
          <w:tab w:leader="none" w:pos="640" w:val="left"/>
        </w:tabs>
        <w:numPr>
          <w:ilvl w:val="0"/>
          <w:numId w:val="5"/>
        </w:numPr>
        <w:rPr>
          <w:rFonts w:ascii="Arial" w:cs="Arial" w:eastAsia="Arial" w:hAnsi="Arial"/>
          <w:sz w:val="12"/>
          <w:szCs w:val="12"/>
          <w:color w:val="auto"/>
        </w:rPr>
      </w:pPr>
      <w:r>
        <w:rPr>
          <w:rFonts w:ascii="Arial" w:cs="Arial" w:eastAsia="Arial" w:hAnsi="Arial"/>
          <w:sz w:val="12"/>
          <w:szCs w:val="12"/>
          <w:color w:val="auto"/>
        </w:rPr>
        <w:t>Other risks detailed from time to time in our publicly filed documents.</w:t>
      </w:r>
    </w:p>
    <w:p>
      <w:pPr>
        <w:spacing w:after="0" w:line="111"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Any statements that are not statements of historical fact (including statements containing the words “may”, “will”, “would”, “could”, “believes”, “expects”, “anticipates”, “intends”, “plans”, “projects”, “considers” and similar expressions) generally should be considered forward-looking statements. Statements regarding our plans, strategies, prospects and expectations regarding our business and industry and our responses thereto may have on our future operations, are forward-looking statements. They reflect our expectations, are not guarantees of performance and speak only as of the date the statement is made. Readers are cautioned not to place undue reliance on such forward-looking statements, which are made as of the date of this report. We do not undertake to publicly update or revise our forward-looking statements, except as required by law.</w:t>
      </w:r>
    </w:p>
    <w:p>
      <w:pPr>
        <w:spacing w:after="0" w:line="101" w:lineRule="exact"/>
        <w:rPr>
          <w:sz w:val="20"/>
          <w:szCs w:val="20"/>
          <w:color w:val="auto"/>
        </w:rPr>
      </w:pPr>
    </w:p>
    <w:p>
      <w:pPr>
        <w:spacing w:after="0"/>
        <w:rPr>
          <w:sz w:val="20"/>
          <w:szCs w:val="20"/>
          <w:color w:val="auto"/>
        </w:rPr>
      </w:pPr>
      <w:r>
        <w:rPr>
          <w:rFonts w:ascii="Arial" w:cs="Arial" w:eastAsia="Arial" w:hAnsi="Arial"/>
          <w:sz w:val="12"/>
          <w:szCs w:val="12"/>
          <w:color w:val="auto"/>
        </w:rPr>
        <w:t>Contact:</w:t>
      </w:r>
    </w:p>
    <w:p>
      <w:pPr>
        <w:spacing w:after="0" w:line="18" w:lineRule="exact"/>
        <w:rPr>
          <w:sz w:val="20"/>
          <w:szCs w:val="20"/>
          <w:color w:val="auto"/>
        </w:rPr>
      </w:pPr>
    </w:p>
    <w:p>
      <w:pPr>
        <w:spacing w:after="0"/>
        <w:rPr>
          <w:sz w:val="20"/>
          <w:szCs w:val="20"/>
          <w:color w:val="auto"/>
        </w:rPr>
      </w:pPr>
      <w:r>
        <w:rPr>
          <w:rFonts w:ascii="Arial" w:cs="Arial" w:eastAsia="Arial" w:hAnsi="Arial"/>
          <w:sz w:val="12"/>
          <w:szCs w:val="12"/>
          <w:color w:val="auto"/>
        </w:rPr>
        <w:t>IR@lee.net</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(563) 383-2100</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w:t>
      </w:r>
    </w:p>
    <w:p>
      <w:pPr>
        <w:sectPr>
          <w:pgSz w:w="11900" w:h="16838" w:orient="portrait"/>
          <w:cols w:equalWidth="0" w:num="1">
            <w:col w:w="11300"/>
          </w:cols>
          <w:pgMar w:left="300" w:top="784" w:right="299" w:bottom="1440" w:gutter="0" w:footer="0" w:header="0"/>
        </w:sectPr>
      </w:pPr>
    </w:p>
    <w:bookmarkStart w:id="6" w:name="page7"/>
    <w:bookmarkEnd w:id="6"/>
    <w:p>
      <w:pPr>
        <w:spacing w:after="0"/>
        <w:rPr>
          <w:sz w:val="20"/>
          <w:szCs w:val="20"/>
          <w:color w:val="auto"/>
        </w:rPr>
      </w:pPr>
      <w:r>
        <w:rPr>
          <w:rFonts w:ascii="Arial" w:cs="Arial" w:eastAsia="Arial" w:hAnsi="Arial"/>
          <w:sz w:val="12"/>
          <w:szCs w:val="12"/>
          <w:b w:val="1"/>
          <w:bCs w:val="1"/>
          <w:color w:val="auto"/>
        </w:rPr>
        <w:t>CONSOLIDATED STATEMENTS OF OPERATIONS</w:t>
      </w:r>
    </w:p>
    <w:p>
      <w:pPr>
        <w:spacing w:after="0" w:line="18" w:lineRule="exact"/>
        <w:rPr>
          <w:sz w:val="20"/>
          <w:szCs w:val="20"/>
          <w:color w:val="auto"/>
        </w:rPr>
      </w:pPr>
    </w:p>
    <w:p>
      <w:pPr>
        <w:spacing w:after="0"/>
        <w:rPr>
          <w:sz w:val="20"/>
          <w:szCs w:val="20"/>
          <w:color w:val="auto"/>
        </w:rPr>
      </w:pPr>
      <w:r>
        <w:rPr>
          <w:rFonts w:ascii="Arial" w:cs="Arial" w:eastAsia="Arial" w:hAnsi="Arial"/>
          <w:sz w:val="12"/>
          <w:szCs w:val="12"/>
          <w:color w:val="auto"/>
        </w:rPr>
        <w:t>(UNAUDITED)</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540" w:type="dxa"/>
            <w:vAlign w:val="bottom"/>
            <w:tcBorders>
              <w:top w:val="single" w:sz="8" w:color="auto"/>
              <w:bottom w:val="single" w:sz="8" w:color="auto"/>
            </w:tcBorders>
          </w:tcPr>
          <w:p>
            <w:pPr>
              <w:spacing w:after="0"/>
              <w:rPr>
                <w:sz w:val="14"/>
                <w:szCs w:val="14"/>
                <w:color w:val="auto"/>
              </w:rPr>
            </w:pPr>
          </w:p>
        </w:tc>
        <w:tc>
          <w:tcPr>
            <w:tcW w:w="2780" w:type="dxa"/>
            <w:vAlign w:val="bottom"/>
            <w:tcBorders>
              <w:top w:val="single" w:sz="8" w:color="auto"/>
              <w:bottom w:val="single" w:sz="8" w:color="auto"/>
            </w:tcBorders>
          </w:tcPr>
          <w:p>
            <w:pPr>
              <w:spacing w:after="0"/>
              <w:rPr>
                <w:sz w:val="14"/>
                <w:szCs w:val="14"/>
                <w:color w:val="auto"/>
              </w:rPr>
            </w:pPr>
          </w:p>
        </w:tc>
        <w:tc>
          <w:tcPr>
            <w:tcW w:w="1640" w:type="dxa"/>
            <w:vAlign w:val="bottom"/>
            <w:tcBorders>
              <w:top w:val="single" w:sz="8" w:color="auto"/>
              <w:bottom w:val="single" w:sz="8" w:color="auto"/>
            </w:tcBorders>
          </w:tcPr>
          <w:p>
            <w:pPr>
              <w:jc w:val="right"/>
              <w:ind w:right="360"/>
              <w:spacing w:after="0"/>
              <w:rPr>
                <w:sz w:val="20"/>
                <w:szCs w:val="20"/>
                <w:color w:val="auto"/>
              </w:rPr>
            </w:pPr>
            <w:r>
              <w:rPr>
                <w:rFonts w:ascii="Arial" w:cs="Arial" w:eastAsia="Arial" w:hAnsi="Arial"/>
                <w:sz w:val="12"/>
                <w:szCs w:val="12"/>
                <w:color w:val="auto"/>
              </w:rPr>
              <w:t>Three months ended</w:t>
            </w:r>
          </w:p>
        </w:tc>
        <w:tc>
          <w:tcPr>
            <w:tcW w:w="1160" w:type="dxa"/>
            <w:vAlign w:val="bottom"/>
            <w:tcBorders>
              <w:top w:val="single" w:sz="8" w:color="auto"/>
              <w:bottom w:val="single" w:sz="8" w:color="auto"/>
            </w:tcBorders>
          </w:tcPr>
          <w:p>
            <w:pPr>
              <w:spacing w:after="0"/>
              <w:rPr>
                <w:sz w:val="14"/>
                <w:szCs w:val="14"/>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Six months ended</w:t>
            </w:r>
          </w:p>
        </w:tc>
      </w:tr>
      <w:tr>
        <w:trPr>
          <w:trHeight w:val="111"/>
        </w:trPr>
        <w:tc>
          <w:tcPr>
            <w:tcW w:w="4540" w:type="dxa"/>
            <w:vAlign w:val="bottom"/>
          </w:tcPr>
          <w:p>
            <w:pPr>
              <w:spacing w:after="0"/>
              <w:rPr>
                <w:sz w:val="9"/>
                <w:szCs w:val="9"/>
                <w:color w:val="auto"/>
              </w:rPr>
            </w:pPr>
          </w:p>
        </w:tc>
        <w:tc>
          <w:tcPr>
            <w:tcW w:w="2780" w:type="dxa"/>
            <w:vAlign w:val="bottom"/>
          </w:tcPr>
          <w:p>
            <w:pPr>
              <w:jc w:val="right"/>
              <w:ind w:right="80"/>
              <w:spacing w:after="0" w:line="111" w:lineRule="exact"/>
              <w:rPr>
                <w:sz w:val="20"/>
                <w:szCs w:val="20"/>
                <w:color w:val="auto"/>
              </w:rPr>
            </w:pPr>
            <w:r>
              <w:rPr>
                <w:rFonts w:ascii="Arial" w:cs="Arial" w:eastAsia="Arial" w:hAnsi="Arial"/>
                <w:sz w:val="12"/>
                <w:szCs w:val="12"/>
                <w:color w:val="auto"/>
              </w:rPr>
              <w:t>March 29,</w:t>
            </w:r>
          </w:p>
        </w:tc>
        <w:tc>
          <w:tcPr>
            <w:tcW w:w="1640" w:type="dxa"/>
            <w:vAlign w:val="bottom"/>
          </w:tcPr>
          <w:p>
            <w:pPr>
              <w:jc w:val="right"/>
              <w:ind w:right="360"/>
              <w:spacing w:after="0" w:line="111" w:lineRule="exact"/>
              <w:rPr>
                <w:sz w:val="20"/>
                <w:szCs w:val="20"/>
                <w:color w:val="auto"/>
              </w:rPr>
            </w:pPr>
            <w:r>
              <w:rPr>
                <w:rFonts w:ascii="Arial" w:cs="Arial" w:eastAsia="Arial" w:hAnsi="Arial"/>
                <w:sz w:val="12"/>
                <w:szCs w:val="12"/>
                <w:color w:val="auto"/>
              </w:rPr>
              <w:t>March 30,</w:t>
            </w:r>
          </w:p>
        </w:tc>
        <w:tc>
          <w:tcPr>
            <w:tcW w:w="1160" w:type="dxa"/>
            <w:vAlign w:val="bottom"/>
          </w:tcPr>
          <w:p>
            <w:pPr>
              <w:jc w:val="right"/>
              <w:ind w:right="140"/>
              <w:spacing w:after="0" w:line="111" w:lineRule="exact"/>
              <w:rPr>
                <w:sz w:val="20"/>
                <w:szCs w:val="20"/>
                <w:color w:val="auto"/>
              </w:rPr>
            </w:pPr>
            <w:r>
              <w:rPr>
                <w:rFonts w:ascii="Arial" w:cs="Arial" w:eastAsia="Arial" w:hAnsi="Arial"/>
                <w:sz w:val="12"/>
                <w:szCs w:val="12"/>
                <w:color w:val="auto"/>
              </w:rPr>
              <w:t>March 29,</w:t>
            </w:r>
          </w:p>
        </w:tc>
        <w:tc>
          <w:tcPr>
            <w:tcW w:w="1180" w:type="dxa"/>
            <w:vAlign w:val="bottom"/>
          </w:tcPr>
          <w:p>
            <w:pPr>
              <w:jc w:val="right"/>
              <w:spacing w:after="0" w:line="111" w:lineRule="exact"/>
              <w:rPr>
                <w:sz w:val="20"/>
                <w:szCs w:val="20"/>
                <w:color w:val="auto"/>
              </w:rPr>
            </w:pPr>
            <w:r>
              <w:rPr>
                <w:rFonts w:ascii="Arial" w:cs="Arial" w:eastAsia="Arial" w:hAnsi="Arial"/>
                <w:sz w:val="12"/>
                <w:szCs w:val="12"/>
                <w:color w:val="auto"/>
              </w:rPr>
              <w:t>March 30,</w:t>
            </w:r>
          </w:p>
        </w:tc>
      </w:tr>
      <w:tr>
        <w:trPr>
          <w:trHeight w:val="157"/>
        </w:trPr>
        <w:tc>
          <w:tcPr>
            <w:tcW w:w="4540" w:type="dxa"/>
            <w:vAlign w:val="bottom"/>
            <w:tcBorders>
              <w:bottom w:val="single" w:sz="8" w:color="auto"/>
            </w:tcBorders>
          </w:tcPr>
          <w:p>
            <w:pPr>
              <w:spacing w:after="0"/>
              <w:rPr>
                <w:sz w:val="20"/>
                <w:szCs w:val="20"/>
                <w:color w:val="auto"/>
              </w:rPr>
            </w:pPr>
            <w:r>
              <w:rPr>
                <w:rFonts w:ascii="Arial" w:cs="Arial" w:eastAsia="Arial" w:hAnsi="Arial"/>
                <w:sz w:val="12"/>
                <w:szCs w:val="12"/>
                <w:i w:val="1"/>
                <w:iCs w:val="1"/>
                <w:color w:val="auto"/>
              </w:rPr>
              <w:t>(Thousands of Dollars, Except Per Common Share Data)</w:t>
            </w:r>
          </w:p>
        </w:tc>
        <w:tc>
          <w:tcPr>
            <w:tcW w:w="278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color w:val="auto"/>
              </w:rPr>
              <w:t>2026</w:t>
            </w:r>
          </w:p>
        </w:tc>
        <w:tc>
          <w:tcPr>
            <w:tcW w:w="1640" w:type="dxa"/>
            <w:vAlign w:val="bottom"/>
            <w:tcBorders>
              <w:bottom w:val="single" w:sz="8" w:color="auto"/>
            </w:tcBorders>
          </w:tcPr>
          <w:p>
            <w:pPr>
              <w:jc w:val="right"/>
              <w:ind w:right="360"/>
              <w:spacing w:after="0"/>
              <w:rPr>
                <w:sz w:val="20"/>
                <w:szCs w:val="20"/>
                <w:color w:val="auto"/>
              </w:rPr>
            </w:pPr>
            <w:r>
              <w:rPr>
                <w:rFonts w:ascii="Arial" w:cs="Arial" w:eastAsia="Arial" w:hAnsi="Arial"/>
                <w:sz w:val="12"/>
                <w:szCs w:val="12"/>
                <w:color w:val="auto"/>
              </w:rPr>
              <w:t>2025</w:t>
            </w:r>
          </w:p>
        </w:tc>
        <w:tc>
          <w:tcPr>
            <w:tcW w:w="1160" w:type="dxa"/>
            <w:vAlign w:val="bottom"/>
            <w:tcBorders>
              <w:bottom w:val="single" w:sz="8" w:color="auto"/>
            </w:tcBorders>
          </w:tcPr>
          <w:p>
            <w:pPr>
              <w:jc w:val="right"/>
              <w:ind w:right="140"/>
              <w:spacing w:after="0"/>
              <w:rPr>
                <w:sz w:val="20"/>
                <w:szCs w:val="20"/>
                <w:color w:val="auto"/>
              </w:rPr>
            </w:pPr>
            <w:r>
              <w:rPr>
                <w:rFonts w:ascii="Arial" w:cs="Arial" w:eastAsia="Arial" w:hAnsi="Arial"/>
                <w:sz w:val="12"/>
                <w:szCs w:val="12"/>
                <w:color w:val="auto"/>
              </w:rPr>
              <w:t>2026</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2025</w:t>
            </w:r>
          </w:p>
        </w:tc>
      </w:tr>
      <w:tr>
        <w:trPr>
          <w:trHeight w:val="160"/>
        </w:trPr>
        <w:tc>
          <w:tcPr>
            <w:tcW w:w="4540" w:type="dxa"/>
            <w:vAlign w:val="bottom"/>
          </w:tcPr>
          <w:p>
            <w:pPr>
              <w:spacing w:after="0"/>
              <w:rPr>
                <w:sz w:val="13"/>
                <w:szCs w:val="13"/>
                <w:color w:val="auto"/>
              </w:rPr>
            </w:pPr>
          </w:p>
        </w:tc>
        <w:tc>
          <w:tcPr>
            <w:tcW w:w="278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180" w:type="dxa"/>
            <w:vAlign w:val="bottom"/>
          </w:tcPr>
          <w:p>
            <w:pPr>
              <w:spacing w:after="0"/>
              <w:rPr>
                <w:sz w:val="13"/>
                <w:szCs w:val="13"/>
                <w:color w:val="auto"/>
              </w:rPr>
            </w:pPr>
          </w:p>
        </w:tc>
      </w:tr>
      <w:tr>
        <w:trPr>
          <w:trHeight w:val="153"/>
        </w:trPr>
        <w:tc>
          <w:tcPr>
            <w:tcW w:w="4540" w:type="dxa"/>
            <w:vAlign w:val="bottom"/>
            <w:shd w:val="clear" w:color="auto" w:fill="CCEEFF"/>
          </w:tcPr>
          <w:p>
            <w:pPr>
              <w:spacing w:after="0"/>
              <w:rPr>
                <w:sz w:val="20"/>
                <w:szCs w:val="20"/>
                <w:color w:val="auto"/>
              </w:rPr>
            </w:pPr>
            <w:r>
              <w:rPr>
                <w:rFonts w:ascii="Arial" w:cs="Arial" w:eastAsia="Arial" w:hAnsi="Arial"/>
                <w:sz w:val="12"/>
                <w:szCs w:val="12"/>
                <w:color w:val="auto"/>
              </w:rPr>
              <w:t>Operating revenue:</w:t>
            </w:r>
          </w:p>
        </w:tc>
        <w:tc>
          <w:tcPr>
            <w:tcW w:w="2780" w:type="dxa"/>
            <w:vAlign w:val="bottom"/>
            <w:shd w:val="clear" w:color="auto" w:fill="CCEEFF"/>
          </w:tcPr>
          <w:p>
            <w:pPr>
              <w:spacing w:after="0"/>
              <w:rPr>
                <w:sz w:val="13"/>
                <w:szCs w:val="13"/>
                <w:color w:val="auto"/>
              </w:rPr>
            </w:pPr>
          </w:p>
        </w:tc>
        <w:tc>
          <w:tcPr>
            <w:tcW w:w="164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r>
      <w:tr>
        <w:trPr>
          <w:trHeight w:val="153"/>
        </w:trPr>
        <w:tc>
          <w:tcPr>
            <w:tcW w:w="4540" w:type="dxa"/>
            <w:vAlign w:val="bottom"/>
          </w:tcPr>
          <w:p>
            <w:pPr>
              <w:ind w:left="120"/>
              <w:spacing w:after="0"/>
              <w:rPr>
                <w:sz w:val="20"/>
                <w:szCs w:val="20"/>
                <w:color w:val="auto"/>
              </w:rPr>
            </w:pPr>
            <w:r>
              <w:rPr>
                <w:rFonts w:ascii="Arial" w:cs="Arial" w:eastAsia="Arial" w:hAnsi="Arial"/>
                <w:sz w:val="12"/>
                <w:szCs w:val="12"/>
                <w:color w:val="auto"/>
              </w:rPr>
              <w:t>Print advertising revenue</w:t>
            </w:r>
          </w:p>
        </w:tc>
        <w:tc>
          <w:tcPr>
            <w:tcW w:w="2780" w:type="dxa"/>
            <w:vAlign w:val="bottom"/>
          </w:tcPr>
          <w:p>
            <w:pPr>
              <w:jc w:val="right"/>
              <w:ind w:right="120"/>
              <w:spacing w:after="0"/>
              <w:rPr>
                <w:sz w:val="20"/>
                <w:szCs w:val="20"/>
                <w:color w:val="auto"/>
              </w:rPr>
            </w:pPr>
            <w:r>
              <w:rPr>
                <w:rFonts w:ascii="Arial" w:cs="Arial" w:eastAsia="Arial" w:hAnsi="Arial"/>
                <w:sz w:val="12"/>
                <w:szCs w:val="12"/>
                <w:color w:val="auto"/>
              </w:rPr>
              <w:t>14,274</w:t>
            </w:r>
          </w:p>
        </w:tc>
        <w:tc>
          <w:tcPr>
            <w:tcW w:w="1640" w:type="dxa"/>
            <w:vAlign w:val="bottom"/>
          </w:tcPr>
          <w:p>
            <w:pPr>
              <w:jc w:val="right"/>
              <w:ind w:right="400"/>
              <w:spacing w:after="0"/>
              <w:rPr>
                <w:sz w:val="20"/>
                <w:szCs w:val="20"/>
                <w:color w:val="auto"/>
              </w:rPr>
            </w:pPr>
            <w:r>
              <w:rPr>
                <w:rFonts w:ascii="Arial" w:cs="Arial" w:eastAsia="Arial" w:hAnsi="Arial"/>
                <w:sz w:val="12"/>
                <w:szCs w:val="12"/>
                <w:color w:val="auto"/>
              </w:rPr>
              <w:t>16,532</w:t>
            </w:r>
          </w:p>
        </w:tc>
        <w:tc>
          <w:tcPr>
            <w:tcW w:w="1160" w:type="dxa"/>
            <w:vAlign w:val="bottom"/>
          </w:tcPr>
          <w:p>
            <w:pPr>
              <w:jc w:val="right"/>
              <w:ind w:right="180"/>
              <w:spacing w:after="0"/>
              <w:rPr>
                <w:sz w:val="20"/>
                <w:szCs w:val="20"/>
                <w:color w:val="auto"/>
              </w:rPr>
            </w:pPr>
            <w:r>
              <w:rPr>
                <w:rFonts w:ascii="Arial" w:cs="Arial" w:eastAsia="Arial" w:hAnsi="Arial"/>
                <w:sz w:val="12"/>
                <w:szCs w:val="12"/>
                <w:color w:val="auto"/>
              </w:rPr>
              <w:t>31,465</w:t>
            </w:r>
          </w:p>
        </w:tc>
        <w:tc>
          <w:tcPr>
            <w:tcW w:w="1180" w:type="dxa"/>
            <w:vAlign w:val="bottom"/>
          </w:tcPr>
          <w:p>
            <w:pPr>
              <w:jc w:val="right"/>
              <w:spacing w:after="0"/>
              <w:rPr>
                <w:sz w:val="20"/>
                <w:szCs w:val="20"/>
                <w:color w:val="auto"/>
              </w:rPr>
            </w:pPr>
            <w:r>
              <w:rPr>
                <w:rFonts w:ascii="Arial" w:cs="Arial" w:eastAsia="Arial" w:hAnsi="Arial"/>
                <w:sz w:val="12"/>
                <w:szCs w:val="12"/>
                <w:color w:val="auto"/>
              </w:rPr>
              <w:t>36,393</w:t>
            </w:r>
          </w:p>
        </w:tc>
      </w:tr>
      <w:tr>
        <w:trPr>
          <w:trHeight w:val="153"/>
        </w:trPr>
        <w:tc>
          <w:tcPr>
            <w:tcW w:w="454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2"/>
                <w:szCs w:val="12"/>
                <w:color w:val="auto"/>
              </w:rPr>
              <w:t>Digital advertising revenue</w:t>
            </w:r>
          </w:p>
        </w:tc>
        <w:tc>
          <w:tcPr>
            <w:tcW w:w="278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2"/>
                <w:szCs w:val="12"/>
                <w:color w:val="auto"/>
              </w:rPr>
              <w:t>40,693</w:t>
            </w:r>
          </w:p>
        </w:tc>
        <w:tc>
          <w:tcPr>
            <w:tcW w:w="1640" w:type="dxa"/>
            <w:vAlign w:val="bottom"/>
            <w:tcBorders>
              <w:bottom w:val="single" w:sz="8" w:color="auto"/>
            </w:tcBorders>
            <w:shd w:val="clear" w:color="auto" w:fill="CCEEFF"/>
          </w:tcPr>
          <w:p>
            <w:pPr>
              <w:jc w:val="right"/>
              <w:ind w:right="400"/>
              <w:spacing w:after="0"/>
              <w:rPr>
                <w:sz w:val="20"/>
                <w:szCs w:val="20"/>
                <w:color w:val="auto"/>
              </w:rPr>
            </w:pPr>
            <w:r>
              <w:rPr>
                <w:rFonts w:ascii="Arial" w:cs="Arial" w:eastAsia="Arial" w:hAnsi="Arial"/>
                <w:sz w:val="12"/>
                <w:szCs w:val="12"/>
                <w:color w:val="auto"/>
              </w:rPr>
              <w:t>43,941</w:t>
            </w:r>
          </w:p>
        </w:tc>
        <w:tc>
          <w:tcPr>
            <w:tcW w:w="1160" w:type="dxa"/>
            <w:vAlign w:val="bottom"/>
            <w:tcBorders>
              <w:bottom w:val="single" w:sz="8" w:color="auto"/>
            </w:tcBorders>
            <w:shd w:val="clear" w:color="auto" w:fill="CCEEFF"/>
          </w:tcPr>
          <w:p>
            <w:pPr>
              <w:jc w:val="right"/>
              <w:ind w:right="180"/>
              <w:spacing w:after="0"/>
              <w:rPr>
                <w:sz w:val="20"/>
                <w:szCs w:val="20"/>
                <w:color w:val="auto"/>
              </w:rPr>
            </w:pPr>
            <w:r>
              <w:rPr>
                <w:rFonts w:ascii="Arial" w:cs="Arial" w:eastAsia="Arial" w:hAnsi="Arial"/>
                <w:sz w:val="12"/>
                <w:szCs w:val="12"/>
                <w:color w:val="auto"/>
              </w:rPr>
              <w:t>83,488</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90,670</w:t>
            </w:r>
          </w:p>
        </w:tc>
      </w:tr>
      <w:tr>
        <w:trPr>
          <w:trHeight w:val="142"/>
        </w:trPr>
        <w:tc>
          <w:tcPr>
            <w:tcW w:w="454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Advertising and marketing services revenue</w:t>
            </w:r>
          </w:p>
        </w:tc>
        <w:tc>
          <w:tcPr>
            <w:tcW w:w="2780" w:type="dxa"/>
            <w:vAlign w:val="bottom"/>
            <w:tcBorders>
              <w:bottom w:val="single" w:sz="8" w:color="auto"/>
            </w:tcBorders>
          </w:tcPr>
          <w:p>
            <w:pPr>
              <w:jc w:val="right"/>
              <w:ind w:right="120"/>
              <w:spacing w:after="0"/>
              <w:rPr>
                <w:sz w:val="20"/>
                <w:szCs w:val="20"/>
                <w:color w:val="auto"/>
              </w:rPr>
            </w:pPr>
            <w:r>
              <w:rPr>
                <w:rFonts w:ascii="Arial" w:cs="Arial" w:eastAsia="Arial" w:hAnsi="Arial"/>
                <w:sz w:val="12"/>
                <w:szCs w:val="12"/>
                <w:color w:val="auto"/>
              </w:rPr>
              <w:t>54,967</w:t>
            </w:r>
          </w:p>
        </w:tc>
        <w:tc>
          <w:tcPr>
            <w:tcW w:w="1640" w:type="dxa"/>
            <w:vAlign w:val="bottom"/>
            <w:tcBorders>
              <w:bottom w:val="single" w:sz="8" w:color="auto"/>
            </w:tcBorders>
          </w:tcPr>
          <w:p>
            <w:pPr>
              <w:jc w:val="right"/>
              <w:ind w:right="400"/>
              <w:spacing w:after="0"/>
              <w:rPr>
                <w:sz w:val="20"/>
                <w:szCs w:val="20"/>
                <w:color w:val="auto"/>
              </w:rPr>
            </w:pPr>
            <w:r>
              <w:rPr>
                <w:rFonts w:ascii="Arial" w:cs="Arial" w:eastAsia="Arial" w:hAnsi="Arial"/>
                <w:sz w:val="12"/>
                <w:szCs w:val="12"/>
                <w:color w:val="auto"/>
              </w:rPr>
              <w:t>60,473</w:t>
            </w:r>
          </w:p>
        </w:tc>
        <w:tc>
          <w:tcPr>
            <w:tcW w:w="1160" w:type="dxa"/>
            <w:vAlign w:val="bottom"/>
            <w:tcBorders>
              <w:bottom w:val="single" w:sz="8" w:color="auto"/>
            </w:tcBorders>
          </w:tcPr>
          <w:p>
            <w:pPr>
              <w:jc w:val="right"/>
              <w:ind w:right="180"/>
              <w:spacing w:after="0"/>
              <w:rPr>
                <w:sz w:val="20"/>
                <w:szCs w:val="20"/>
                <w:color w:val="auto"/>
              </w:rPr>
            </w:pPr>
            <w:r>
              <w:rPr>
                <w:rFonts w:ascii="Arial" w:cs="Arial" w:eastAsia="Arial" w:hAnsi="Arial"/>
                <w:sz w:val="12"/>
                <w:szCs w:val="12"/>
                <w:color w:val="auto"/>
              </w:rPr>
              <w:t>114,953</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127,063</w:t>
            </w:r>
          </w:p>
        </w:tc>
      </w:tr>
      <w:tr>
        <w:trPr>
          <w:trHeight w:val="142"/>
        </w:trPr>
        <w:tc>
          <w:tcPr>
            <w:tcW w:w="4540" w:type="dxa"/>
            <w:vAlign w:val="bottom"/>
            <w:shd w:val="clear" w:color="auto" w:fill="CCEEFF"/>
          </w:tcPr>
          <w:p>
            <w:pPr>
              <w:ind w:left="120"/>
              <w:spacing w:after="0"/>
              <w:rPr>
                <w:sz w:val="20"/>
                <w:szCs w:val="20"/>
                <w:color w:val="auto"/>
              </w:rPr>
            </w:pPr>
            <w:r>
              <w:rPr>
                <w:rFonts w:ascii="Arial" w:cs="Arial" w:eastAsia="Arial" w:hAnsi="Arial"/>
                <w:sz w:val="12"/>
                <w:szCs w:val="12"/>
                <w:color w:val="auto"/>
              </w:rPr>
              <w:t>Print subscription revenue</w:t>
            </w:r>
          </w:p>
        </w:tc>
        <w:tc>
          <w:tcPr>
            <w:tcW w:w="2780" w:type="dxa"/>
            <w:vAlign w:val="bottom"/>
            <w:shd w:val="clear" w:color="auto" w:fill="CCEEFF"/>
          </w:tcPr>
          <w:p>
            <w:pPr>
              <w:jc w:val="right"/>
              <w:ind w:right="120"/>
              <w:spacing w:after="0"/>
              <w:rPr>
                <w:sz w:val="20"/>
                <w:szCs w:val="20"/>
                <w:color w:val="auto"/>
              </w:rPr>
            </w:pPr>
            <w:r>
              <w:rPr>
                <w:rFonts w:ascii="Arial" w:cs="Arial" w:eastAsia="Arial" w:hAnsi="Arial"/>
                <w:sz w:val="12"/>
                <w:szCs w:val="12"/>
                <w:color w:val="auto"/>
              </w:rPr>
              <w:t>32,902</w:t>
            </w:r>
          </w:p>
        </w:tc>
        <w:tc>
          <w:tcPr>
            <w:tcW w:w="1640" w:type="dxa"/>
            <w:vAlign w:val="bottom"/>
            <w:shd w:val="clear" w:color="auto" w:fill="CCEEFF"/>
          </w:tcPr>
          <w:p>
            <w:pPr>
              <w:jc w:val="right"/>
              <w:ind w:right="400"/>
              <w:spacing w:after="0"/>
              <w:rPr>
                <w:sz w:val="20"/>
                <w:szCs w:val="20"/>
                <w:color w:val="auto"/>
              </w:rPr>
            </w:pPr>
            <w:r>
              <w:rPr>
                <w:rFonts w:ascii="Arial" w:cs="Arial" w:eastAsia="Arial" w:hAnsi="Arial"/>
                <w:sz w:val="12"/>
                <w:szCs w:val="12"/>
                <w:color w:val="auto"/>
              </w:rPr>
              <w:t>41,079</w:t>
            </w:r>
          </w:p>
        </w:tc>
        <w:tc>
          <w:tcPr>
            <w:tcW w:w="1160" w:type="dxa"/>
            <w:vAlign w:val="bottom"/>
            <w:shd w:val="clear" w:color="auto" w:fill="CCEEFF"/>
          </w:tcPr>
          <w:p>
            <w:pPr>
              <w:jc w:val="right"/>
              <w:ind w:right="180"/>
              <w:spacing w:after="0"/>
              <w:rPr>
                <w:sz w:val="20"/>
                <w:szCs w:val="20"/>
                <w:color w:val="auto"/>
              </w:rPr>
            </w:pPr>
            <w:r>
              <w:rPr>
                <w:rFonts w:ascii="Arial" w:cs="Arial" w:eastAsia="Arial" w:hAnsi="Arial"/>
                <w:sz w:val="12"/>
                <w:szCs w:val="12"/>
                <w:color w:val="auto"/>
              </w:rPr>
              <w:t>67,898</w:t>
            </w:r>
          </w:p>
        </w:tc>
        <w:tc>
          <w:tcPr>
            <w:tcW w:w="11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84,511</w:t>
            </w:r>
          </w:p>
        </w:tc>
      </w:tr>
      <w:tr>
        <w:trPr>
          <w:trHeight w:val="153"/>
        </w:trPr>
        <w:tc>
          <w:tcPr>
            <w:tcW w:w="4540" w:type="dxa"/>
            <w:vAlign w:val="bottom"/>
            <w:tcBorders>
              <w:bottom w:val="single" w:sz="8" w:color="auto"/>
            </w:tcBorders>
          </w:tcPr>
          <w:p>
            <w:pPr>
              <w:ind w:left="120"/>
              <w:spacing w:after="0"/>
              <w:rPr>
                <w:sz w:val="20"/>
                <w:szCs w:val="20"/>
                <w:color w:val="auto"/>
              </w:rPr>
            </w:pPr>
            <w:r>
              <w:rPr>
                <w:rFonts w:ascii="Arial" w:cs="Arial" w:eastAsia="Arial" w:hAnsi="Arial"/>
                <w:sz w:val="12"/>
                <w:szCs w:val="12"/>
                <w:color w:val="auto"/>
              </w:rPr>
              <w:t>Digital subscription revenue</w:t>
            </w:r>
          </w:p>
        </w:tc>
        <w:tc>
          <w:tcPr>
            <w:tcW w:w="2780" w:type="dxa"/>
            <w:vAlign w:val="bottom"/>
            <w:tcBorders>
              <w:bottom w:val="single" w:sz="8" w:color="auto"/>
            </w:tcBorders>
          </w:tcPr>
          <w:p>
            <w:pPr>
              <w:jc w:val="right"/>
              <w:ind w:right="120"/>
              <w:spacing w:after="0"/>
              <w:rPr>
                <w:sz w:val="20"/>
                <w:szCs w:val="20"/>
                <w:color w:val="auto"/>
              </w:rPr>
            </w:pPr>
            <w:r>
              <w:rPr>
                <w:rFonts w:ascii="Arial" w:cs="Arial" w:eastAsia="Arial" w:hAnsi="Arial"/>
                <w:sz w:val="12"/>
                <w:szCs w:val="12"/>
                <w:color w:val="auto"/>
              </w:rPr>
              <w:t>22,279</w:t>
            </w:r>
          </w:p>
        </w:tc>
        <w:tc>
          <w:tcPr>
            <w:tcW w:w="1640" w:type="dxa"/>
            <w:vAlign w:val="bottom"/>
            <w:tcBorders>
              <w:bottom w:val="single" w:sz="8" w:color="auto"/>
            </w:tcBorders>
          </w:tcPr>
          <w:p>
            <w:pPr>
              <w:jc w:val="right"/>
              <w:ind w:right="400"/>
              <w:spacing w:after="0"/>
              <w:rPr>
                <w:sz w:val="20"/>
                <w:szCs w:val="20"/>
                <w:color w:val="auto"/>
              </w:rPr>
            </w:pPr>
            <w:r>
              <w:rPr>
                <w:rFonts w:ascii="Arial" w:cs="Arial" w:eastAsia="Arial" w:hAnsi="Arial"/>
                <w:sz w:val="12"/>
                <w:szCs w:val="12"/>
                <w:color w:val="auto"/>
              </w:rPr>
              <w:t>23,789</w:t>
            </w:r>
          </w:p>
        </w:tc>
        <w:tc>
          <w:tcPr>
            <w:tcW w:w="1160" w:type="dxa"/>
            <w:vAlign w:val="bottom"/>
            <w:tcBorders>
              <w:bottom w:val="single" w:sz="8" w:color="auto"/>
            </w:tcBorders>
          </w:tcPr>
          <w:p>
            <w:pPr>
              <w:jc w:val="right"/>
              <w:ind w:right="180"/>
              <w:spacing w:after="0"/>
              <w:rPr>
                <w:sz w:val="20"/>
                <w:szCs w:val="20"/>
                <w:color w:val="auto"/>
              </w:rPr>
            </w:pPr>
            <w:r>
              <w:rPr>
                <w:rFonts w:ascii="Arial" w:cs="Arial" w:eastAsia="Arial" w:hAnsi="Arial"/>
                <w:sz w:val="12"/>
                <w:szCs w:val="12"/>
                <w:color w:val="auto"/>
              </w:rPr>
              <w:t>44,985</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45,354</w:t>
            </w:r>
          </w:p>
        </w:tc>
      </w:tr>
      <w:tr>
        <w:trPr>
          <w:trHeight w:val="142"/>
        </w:trPr>
        <w:tc>
          <w:tcPr>
            <w:tcW w:w="45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2"/>
                <w:szCs w:val="12"/>
                <w:color w:val="auto"/>
              </w:rPr>
              <w:t>Subscription revenue</w:t>
            </w:r>
          </w:p>
        </w:tc>
        <w:tc>
          <w:tcPr>
            <w:tcW w:w="278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2"/>
                <w:szCs w:val="12"/>
                <w:color w:val="auto"/>
              </w:rPr>
              <w:t>55,181</w:t>
            </w:r>
          </w:p>
        </w:tc>
        <w:tc>
          <w:tcPr>
            <w:tcW w:w="1640" w:type="dxa"/>
            <w:vAlign w:val="bottom"/>
            <w:tcBorders>
              <w:bottom w:val="single" w:sz="8" w:color="auto"/>
            </w:tcBorders>
            <w:shd w:val="clear" w:color="auto" w:fill="CCEEFF"/>
          </w:tcPr>
          <w:p>
            <w:pPr>
              <w:jc w:val="right"/>
              <w:ind w:right="400"/>
              <w:spacing w:after="0"/>
              <w:rPr>
                <w:sz w:val="20"/>
                <w:szCs w:val="20"/>
                <w:color w:val="auto"/>
              </w:rPr>
            </w:pPr>
            <w:r>
              <w:rPr>
                <w:rFonts w:ascii="Arial" w:cs="Arial" w:eastAsia="Arial" w:hAnsi="Arial"/>
                <w:sz w:val="12"/>
                <w:szCs w:val="12"/>
                <w:color w:val="auto"/>
              </w:rPr>
              <w:t>64,868</w:t>
            </w:r>
          </w:p>
        </w:tc>
        <w:tc>
          <w:tcPr>
            <w:tcW w:w="1160" w:type="dxa"/>
            <w:vAlign w:val="bottom"/>
            <w:tcBorders>
              <w:bottom w:val="single" w:sz="8" w:color="auto"/>
            </w:tcBorders>
            <w:shd w:val="clear" w:color="auto" w:fill="CCEEFF"/>
          </w:tcPr>
          <w:p>
            <w:pPr>
              <w:jc w:val="right"/>
              <w:ind w:right="180"/>
              <w:spacing w:after="0"/>
              <w:rPr>
                <w:sz w:val="20"/>
                <w:szCs w:val="20"/>
                <w:color w:val="auto"/>
              </w:rPr>
            </w:pPr>
            <w:r>
              <w:rPr>
                <w:rFonts w:ascii="Arial" w:cs="Arial" w:eastAsia="Arial" w:hAnsi="Arial"/>
                <w:sz w:val="12"/>
                <w:szCs w:val="12"/>
                <w:color w:val="auto"/>
              </w:rPr>
              <w:t>112,883</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129,865</w:t>
            </w:r>
          </w:p>
        </w:tc>
      </w:tr>
      <w:tr>
        <w:trPr>
          <w:trHeight w:val="142"/>
        </w:trPr>
        <w:tc>
          <w:tcPr>
            <w:tcW w:w="4540" w:type="dxa"/>
            <w:vAlign w:val="bottom"/>
          </w:tcPr>
          <w:p>
            <w:pPr>
              <w:ind w:left="120"/>
              <w:spacing w:after="0"/>
              <w:rPr>
                <w:sz w:val="20"/>
                <w:szCs w:val="20"/>
                <w:color w:val="auto"/>
              </w:rPr>
            </w:pPr>
            <w:r>
              <w:rPr>
                <w:rFonts w:ascii="Arial" w:cs="Arial" w:eastAsia="Arial" w:hAnsi="Arial"/>
                <w:sz w:val="12"/>
                <w:szCs w:val="12"/>
                <w:color w:val="auto"/>
              </w:rPr>
              <w:t>Print other revenue</w:t>
            </w:r>
          </w:p>
        </w:tc>
        <w:tc>
          <w:tcPr>
            <w:tcW w:w="2780" w:type="dxa"/>
            <w:vAlign w:val="bottom"/>
          </w:tcPr>
          <w:p>
            <w:pPr>
              <w:jc w:val="right"/>
              <w:ind w:right="120"/>
              <w:spacing w:after="0"/>
              <w:rPr>
                <w:sz w:val="20"/>
                <w:szCs w:val="20"/>
                <w:color w:val="auto"/>
              </w:rPr>
            </w:pPr>
            <w:r>
              <w:rPr>
                <w:rFonts w:ascii="Arial" w:cs="Arial" w:eastAsia="Arial" w:hAnsi="Arial"/>
                <w:sz w:val="12"/>
                <w:szCs w:val="12"/>
                <w:color w:val="auto"/>
              </w:rPr>
              <w:t>7,032</w:t>
            </w:r>
          </w:p>
        </w:tc>
        <w:tc>
          <w:tcPr>
            <w:tcW w:w="1640" w:type="dxa"/>
            <w:vAlign w:val="bottom"/>
          </w:tcPr>
          <w:p>
            <w:pPr>
              <w:jc w:val="right"/>
              <w:ind w:right="400"/>
              <w:spacing w:after="0"/>
              <w:rPr>
                <w:sz w:val="20"/>
                <w:szCs w:val="20"/>
                <w:color w:val="auto"/>
              </w:rPr>
            </w:pPr>
            <w:r>
              <w:rPr>
                <w:rFonts w:ascii="Arial" w:cs="Arial" w:eastAsia="Arial" w:hAnsi="Arial"/>
                <w:sz w:val="12"/>
                <w:szCs w:val="12"/>
                <w:color w:val="auto"/>
              </w:rPr>
              <w:t>7,213</w:t>
            </w:r>
          </w:p>
        </w:tc>
        <w:tc>
          <w:tcPr>
            <w:tcW w:w="1160" w:type="dxa"/>
            <w:vAlign w:val="bottom"/>
          </w:tcPr>
          <w:p>
            <w:pPr>
              <w:jc w:val="right"/>
              <w:ind w:right="180"/>
              <w:spacing w:after="0"/>
              <w:rPr>
                <w:sz w:val="20"/>
                <w:szCs w:val="20"/>
                <w:color w:val="auto"/>
              </w:rPr>
            </w:pPr>
            <w:r>
              <w:rPr>
                <w:rFonts w:ascii="Arial" w:cs="Arial" w:eastAsia="Arial" w:hAnsi="Arial"/>
                <w:sz w:val="12"/>
                <w:szCs w:val="12"/>
                <w:color w:val="auto"/>
              </w:rPr>
              <w:t>14,578</w:t>
            </w:r>
          </w:p>
        </w:tc>
        <w:tc>
          <w:tcPr>
            <w:tcW w:w="1180" w:type="dxa"/>
            <w:vAlign w:val="bottom"/>
          </w:tcPr>
          <w:p>
            <w:pPr>
              <w:jc w:val="right"/>
              <w:spacing w:after="0"/>
              <w:rPr>
                <w:sz w:val="20"/>
                <w:szCs w:val="20"/>
                <w:color w:val="auto"/>
              </w:rPr>
            </w:pPr>
            <w:r>
              <w:rPr>
                <w:rFonts w:ascii="Arial" w:cs="Arial" w:eastAsia="Arial" w:hAnsi="Arial"/>
                <w:sz w:val="12"/>
                <w:szCs w:val="12"/>
                <w:color w:val="auto"/>
              </w:rPr>
              <w:t>15,101</w:t>
            </w:r>
          </w:p>
        </w:tc>
      </w:tr>
      <w:tr>
        <w:trPr>
          <w:trHeight w:val="153"/>
        </w:trPr>
        <w:tc>
          <w:tcPr>
            <w:tcW w:w="454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2"/>
                <w:szCs w:val="12"/>
                <w:color w:val="auto"/>
              </w:rPr>
              <w:t>Digital other revenue</w:t>
            </w:r>
          </w:p>
        </w:tc>
        <w:tc>
          <w:tcPr>
            <w:tcW w:w="278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2"/>
                <w:szCs w:val="12"/>
                <w:color w:val="auto"/>
              </w:rPr>
              <w:t>4,784</w:t>
            </w:r>
          </w:p>
        </w:tc>
        <w:tc>
          <w:tcPr>
            <w:tcW w:w="1640" w:type="dxa"/>
            <w:vAlign w:val="bottom"/>
            <w:tcBorders>
              <w:bottom w:val="single" w:sz="8" w:color="auto"/>
            </w:tcBorders>
            <w:shd w:val="clear" w:color="auto" w:fill="CCEEFF"/>
          </w:tcPr>
          <w:p>
            <w:pPr>
              <w:jc w:val="right"/>
              <w:ind w:right="400"/>
              <w:spacing w:after="0"/>
              <w:rPr>
                <w:sz w:val="20"/>
                <w:szCs w:val="20"/>
                <w:color w:val="auto"/>
              </w:rPr>
            </w:pPr>
            <w:r>
              <w:rPr>
                <w:rFonts w:ascii="Arial" w:cs="Arial" w:eastAsia="Arial" w:hAnsi="Arial"/>
                <w:sz w:val="12"/>
                <w:szCs w:val="12"/>
                <w:color w:val="auto"/>
              </w:rPr>
              <w:t>4,826</w:t>
            </w:r>
          </w:p>
        </w:tc>
        <w:tc>
          <w:tcPr>
            <w:tcW w:w="1160" w:type="dxa"/>
            <w:vAlign w:val="bottom"/>
            <w:tcBorders>
              <w:bottom w:val="single" w:sz="8" w:color="auto"/>
            </w:tcBorders>
            <w:shd w:val="clear" w:color="auto" w:fill="CCEEFF"/>
          </w:tcPr>
          <w:p>
            <w:pPr>
              <w:jc w:val="right"/>
              <w:ind w:right="180"/>
              <w:spacing w:after="0"/>
              <w:rPr>
                <w:sz w:val="20"/>
                <w:szCs w:val="20"/>
                <w:color w:val="auto"/>
              </w:rPr>
            </w:pPr>
            <w:r>
              <w:rPr>
                <w:rFonts w:ascii="Arial" w:cs="Arial" w:eastAsia="Arial" w:hAnsi="Arial"/>
                <w:sz w:val="12"/>
                <w:szCs w:val="12"/>
                <w:color w:val="auto"/>
              </w:rPr>
              <w:t>9,612</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9,913</w:t>
            </w:r>
          </w:p>
        </w:tc>
      </w:tr>
      <w:tr>
        <w:trPr>
          <w:trHeight w:val="142"/>
        </w:trPr>
        <w:tc>
          <w:tcPr>
            <w:tcW w:w="454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Other revenue</w:t>
            </w:r>
          </w:p>
        </w:tc>
        <w:tc>
          <w:tcPr>
            <w:tcW w:w="2780" w:type="dxa"/>
            <w:vAlign w:val="bottom"/>
            <w:tcBorders>
              <w:bottom w:val="single" w:sz="8" w:color="auto"/>
            </w:tcBorders>
          </w:tcPr>
          <w:p>
            <w:pPr>
              <w:jc w:val="right"/>
              <w:ind w:right="120"/>
              <w:spacing w:after="0"/>
              <w:rPr>
                <w:sz w:val="20"/>
                <w:szCs w:val="20"/>
                <w:color w:val="auto"/>
              </w:rPr>
            </w:pPr>
            <w:r>
              <w:rPr>
                <w:rFonts w:ascii="Arial" w:cs="Arial" w:eastAsia="Arial" w:hAnsi="Arial"/>
                <w:sz w:val="12"/>
                <w:szCs w:val="12"/>
                <w:color w:val="auto"/>
              </w:rPr>
              <w:t>11,816</w:t>
            </w:r>
          </w:p>
        </w:tc>
        <w:tc>
          <w:tcPr>
            <w:tcW w:w="1640" w:type="dxa"/>
            <w:vAlign w:val="bottom"/>
            <w:tcBorders>
              <w:bottom w:val="single" w:sz="8" w:color="auto"/>
            </w:tcBorders>
          </w:tcPr>
          <w:p>
            <w:pPr>
              <w:jc w:val="right"/>
              <w:ind w:right="400"/>
              <w:spacing w:after="0"/>
              <w:rPr>
                <w:sz w:val="20"/>
                <w:szCs w:val="20"/>
                <w:color w:val="auto"/>
              </w:rPr>
            </w:pPr>
            <w:r>
              <w:rPr>
                <w:rFonts w:ascii="Arial" w:cs="Arial" w:eastAsia="Arial" w:hAnsi="Arial"/>
                <w:sz w:val="12"/>
                <w:szCs w:val="12"/>
                <w:color w:val="auto"/>
              </w:rPr>
              <w:t>12,039</w:t>
            </w:r>
          </w:p>
        </w:tc>
        <w:tc>
          <w:tcPr>
            <w:tcW w:w="1160" w:type="dxa"/>
            <w:vAlign w:val="bottom"/>
            <w:tcBorders>
              <w:bottom w:val="single" w:sz="8" w:color="auto"/>
            </w:tcBorders>
          </w:tcPr>
          <w:p>
            <w:pPr>
              <w:jc w:val="right"/>
              <w:ind w:right="180"/>
              <w:spacing w:after="0"/>
              <w:rPr>
                <w:sz w:val="20"/>
                <w:szCs w:val="20"/>
                <w:color w:val="auto"/>
              </w:rPr>
            </w:pPr>
            <w:r>
              <w:rPr>
                <w:rFonts w:ascii="Arial" w:cs="Arial" w:eastAsia="Arial" w:hAnsi="Arial"/>
                <w:sz w:val="12"/>
                <w:szCs w:val="12"/>
                <w:color w:val="auto"/>
              </w:rPr>
              <w:t>24,190</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25,014</w:t>
            </w:r>
          </w:p>
        </w:tc>
      </w:tr>
      <w:tr>
        <w:trPr>
          <w:trHeight w:val="142"/>
        </w:trPr>
        <w:tc>
          <w:tcPr>
            <w:tcW w:w="45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2"/>
                <w:szCs w:val="12"/>
                <w:color w:val="auto"/>
              </w:rPr>
              <w:t>Total operating revenue</w:t>
            </w:r>
          </w:p>
        </w:tc>
        <w:tc>
          <w:tcPr>
            <w:tcW w:w="278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2"/>
                <w:szCs w:val="12"/>
                <w:color w:val="auto"/>
              </w:rPr>
              <w:t>121,964</w:t>
            </w:r>
          </w:p>
        </w:tc>
        <w:tc>
          <w:tcPr>
            <w:tcW w:w="1640" w:type="dxa"/>
            <w:vAlign w:val="bottom"/>
            <w:tcBorders>
              <w:bottom w:val="single" w:sz="8" w:color="auto"/>
            </w:tcBorders>
            <w:shd w:val="clear" w:color="auto" w:fill="CCEEFF"/>
          </w:tcPr>
          <w:p>
            <w:pPr>
              <w:jc w:val="right"/>
              <w:ind w:right="400"/>
              <w:spacing w:after="0"/>
              <w:rPr>
                <w:sz w:val="20"/>
                <w:szCs w:val="20"/>
                <w:color w:val="auto"/>
              </w:rPr>
            </w:pPr>
            <w:r>
              <w:rPr>
                <w:rFonts w:ascii="Arial" w:cs="Arial" w:eastAsia="Arial" w:hAnsi="Arial"/>
                <w:sz w:val="12"/>
                <w:szCs w:val="12"/>
                <w:color w:val="auto"/>
              </w:rPr>
              <w:t>137,380</w:t>
            </w:r>
          </w:p>
        </w:tc>
        <w:tc>
          <w:tcPr>
            <w:tcW w:w="1160" w:type="dxa"/>
            <w:vAlign w:val="bottom"/>
            <w:tcBorders>
              <w:bottom w:val="single" w:sz="8" w:color="auto"/>
            </w:tcBorders>
            <w:shd w:val="clear" w:color="auto" w:fill="CCEEFF"/>
          </w:tcPr>
          <w:p>
            <w:pPr>
              <w:jc w:val="right"/>
              <w:ind w:right="180"/>
              <w:spacing w:after="0"/>
              <w:rPr>
                <w:sz w:val="20"/>
                <w:szCs w:val="20"/>
                <w:color w:val="auto"/>
              </w:rPr>
            </w:pPr>
            <w:r>
              <w:rPr>
                <w:rFonts w:ascii="Arial" w:cs="Arial" w:eastAsia="Arial" w:hAnsi="Arial"/>
                <w:sz w:val="12"/>
                <w:szCs w:val="12"/>
                <w:color w:val="auto"/>
              </w:rPr>
              <w:t>252,026</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281,942</w:t>
            </w:r>
          </w:p>
        </w:tc>
      </w:tr>
      <w:tr>
        <w:trPr>
          <w:trHeight w:val="142"/>
        </w:trPr>
        <w:tc>
          <w:tcPr>
            <w:tcW w:w="4540" w:type="dxa"/>
            <w:vAlign w:val="bottom"/>
          </w:tcPr>
          <w:p>
            <w:pPr>
              <w:spacing w:after="0"/>
              <w:rPr>
                <w:sz w:val="20"/>
                <w:szCs w:val="20"/>
                <w:color w:val="auto"/>
              </w:rPr>
            </w:pPr>
            <w:r>
              <w:rPr>
                <w:rFonts w:ascii="Arial" w:cs="Arial" w:eastAsia="Arial" w:hAnsi="Arial"/>
                <w:sz w:val="12"/>
                <w:szCs w:val="12"/>
                <w:color w:val="auto"/>
              </w:rPr>
              <w:t>Operating expenses:</w:t>
            </w:r>
          </w:p>
        </w:tc>
        <w:tc>
          <w:tcPr>
            <w:tcW w:w="27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180" w:type="dxa"/>
            <w:vAlign w:val="bottom"/>
          </w:tcPr>
          <w:p>
            <w:pPr>
              <w:spacing w:after="0"/>
              <w:rPr>
                <w:sz w:val="12"/>
                <w:szCs w:val="12"/>
                <w:color w:val="auto"/>
              </w:rPr>
            </w:pPr>
          </w:p>
        </w:tc>
      </w:tr>
      <w:tr>
        <w:trPr>
          <w:trHeight w:val="153"/>
        </w:trPr>
        <w:tc>
          <w:tcPr>
            <w:tcW w:w="4540" w:type="dxa"/>
            <w:vAlign w:val="bottom"/>
            <w:shd w:val="clear" w:color="auto" w:fill="CCEEFF"/>
          </w:tcPr>
          <w:p>
            <w:pPr>
              <w:ind w:left="120"/>
              <w:spacing w:after="0"/>
              <w:rPr>
                <w:sz w:val="20"/>
                <w:szCs w:val="20"/>
                <w:color w:val="auto"/>
              </w:rPr>
            </w:pPr>
            <w:r>
              <w:rPr>
                <w:rFonts w:ascii="Arial" w:cs="Arial" w:eastAsia="Arial" w:hAnsi="Arial"/>
                <w:sz w:val="12"/>
                <w:szCs w:val="12"/>
                <w:color w:val="auto"/>
              </w:rPr>
              <w:t>Compensation</w:t>
            </w:r>
          </w:p>
        </w:tc>
        <w:tc>
          <w:tcPr>
            <w:tcW w:w="2780" w:type="dxa"/>
            <w:vAlign w:val="bottom"/>
            <w:shd w:val="clear" w:color="auto" w:fill="CCEEFF"/>
          </w:tcPr>
          <w:p>
            <w:pPr>
              <w:jc w:val="right"/>
              <w:ind w:right="120"/>
              <w:spacing w:after="0"/>
              <w:rPr>
                <w:sz w:val="20"/>
                <w:szCs w:val="20"/>
                <w:color w:val="auto"/>
              </w:rPr>
            </w:pPr>
            <w:r>
              <w:rPr>
                <w:rFonts w:ascii="Arial" w:cs="Arial" w:eastAsia="Arial" w:hAnsi="Arial"/>
                <w:sz w:val="12"/>
                <w:szCs w:val="12"/>
                <w:color w:val="auto"/>
              </w:rPr>
              <w:t>46,745</w:t>
            </w:r>
          </w:p>
        </w:tc>
        <w:tc>
          <w:tcPr>
            <w:tcW w:w="1640" w:type="dxa"/>
            <w:vAlign w:val="bottom"/>
            <w:shd w:val="clear" w:color="auto" w:fill="CCEEFF"/>
          </w:tcPr>
          <w:p>
            <w:pPr>
              <w:jc w:val="right"/>
              <w:ind w:right="400"/>
              <w:spacing w:after="0"/>
              <w:rPr>
                <w:sz w:val="20"/>
                <w:szCs w:val="20"/>
                <w:color w:val="auto"/>
              </w:rPr>
            </w:pPr>
            <w:r>
              <w:rPr>
                <w:rFonts w:ascii="Arial" w:cs="Arial" w:eastAsia="Arial" w:hAnsi="Arial"/>
                <w:sz w:val="12"/>
                <w:szCs w:val="12"/>
                <w:color w:val="auto"/>
              </w:rPr>
              <w:t>56,659</w:t>
            </w:r>
          </w:p>
        </w:tc>
        <w:tc>
          <w:tcPr>
            <w:tcW w:w="1160" w:type="dxa"/>
            <w:vAlign w:val="bottom"/>
            <w:shd w:val="clear" w:color="auto" w:fill="CCEEFF"/>
          </w:tcPr>
          <w:p>
            <w:pPr>
              <w:jc w:val="right"/>
              <w:ind w:right="180"/>
              <w:spacing w:after="0"/>
              <w:rPr>
                <w:sz w:val="20"/>
                <w:szCs w:val="20"/>
                <w:color w:val="auto"/>
              </w:rPr>
            </w:pPr>
            <w:r>
              <w:rPr>
                <w:rFonts w:ascii="Arial" w:cs="Arial" w:eastAsia="Arial" w:hAnsi="Arial"/>
                <w:sz w:val="12"/>
                <w:szCs w:val="12"/>
                <w:color w:val="auto"/>
              </w:rPr>
              <w:t>96,178</w:t>
            </w:r>
          </w:p>
        </w:tc>
        <w:tc>
          <w:tcPr>
            <w:tcW w:w="11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116,913</w:t>
            </w:r>
          </w:p>
        </w:tc>
      </w:tr>
      <w:tr>
        <w:trPr>
          <w:trHeight w:val="153"/>
        </w:trPr>
        <w:tc>
          <w:tcPr>
            <w:tcW w:w="4540" w:type="dxa"/>
            <w:vAlign w:val="bottom"/>
          </w:tcPr>
          <w:p>
            <w:pPr>
              <w:ind w:left="120"/>
              <w:spacing w:after="0"/>
              <w:rPr>
                <w:sz w:val="20"/>
                <w:szCs w:val="20"/>
                <w:color w:val="auto"/>
              </w:rPr>
            </w:pPr>
            <w:r>
              <w:rPr>
                <w:rFonts w:ascii="Arial" w:cs="Arial" w:eastAsia="Arial" w:hAnsi="Arial"/>
                <w:sz w:val="12"/>
                <w:szCs w:val="12"/>
                <w:color w:val="auto"/>
              </w:rPr>
              <w:t>Newsprint and ink</w:t>
            </w:r>
          </w:p>
        </w:tc>
        <w:tc>
          <w:tcPr>
            <w:tcW w:w="2780" w:type="dxa"/>
            <w:vAlign w:val="bottom"/>
          </w:tcPr>
          <w:p>
            <w:pPr>
              <w:jc w:val="right"/>
              <w:ind w:right="120"/>
              <w:spacing w:after="0"/>
              <w:rPr>
                <w:sz w:val="20"/>
                <w:szCs w:val="20"/>
                <w:color w:val="auto"/>
              </w:rPr>
            </w:pPr>
            <w:r>
              <w:rPr>
                <w:rFonts w:ascii="Arial" w:cs="Arial" w:eastAsia="Arial" w:hAnsi="Arial"/>
                <w:sz w:val="12"/>
                <w:szCs w:val="12"/>
                <w:color w:val="auto"/>
              </w:rPr>
              <w:t>2,520</w:t>
            </w:r>
          </w:p>
        </w:tc>
        <w:tc>
          <w:tcPr>
            <w:tcW w:w="1640" w:type="dxa"/>
            <w:vAlign w:val="bottom"/>
          </w:tcPr>
          <w:p>
            <w:pPr>
              <w:jc w:val="right"/>
              <w:ind w:right="400"/>
              <w:spacing w:after="0"/>
              <w:rPr>
                <w:sz w:val="20"/>
                <w:szCs w:val="20"/>
                <w:color w:val="auto"/>
              </w:rPr>
            </w:pPr>
            <w:r>
              <w:rPr>
                <w:rFonts w:ascii="Arial" w:cs="Arial" w:eastAsia="Arial" w:hAnsi="Arial"/>
                <w:sz w:val="12"/>
                <w:szCs w:val="12"/>
                <w:color w:val="auto"/>
              </w:rPr>
              <w:t>3,111</w:t>
            </w:r>
          </w:p>
        </w:tc>
        <w:tc>
          <w:tcPr>
            <w:tcW w:w="1160" w:type="dxa"/>
            <w:vAlign w:val="bottom"/>
          </w:tcPr>
          <w:p>
            <w:pPr>
              <w:jc w:val="right"/>
              <w:ind w:right="180"/>
              <w:spacing w:after="0"/>
              <w:rPr>
                <w:sz w:val="20"/>
                <w:szCs w:val="20"/>
                <w:color w:val="auto"/>
              </w:rPr>
            </w:pPr>
            <w:r>
              <w:rPr>
                <w:rFonts w:ascii="Arial" w:cs="Arial" w:eastAsia="Arial" w:hAnsi="Arial"/>
                <w:sz w:val="12"/>
                <w:szCs w:val="12"/>
                <w:color w:val="auto"/>
              </w:rPr>
              <w:t>5,483</w:t>
            </w:r>
          </w:p>
        </w:tc>
        <w:tc>
          <w:tcPr>
            <w:tcW w:w="1180" w:type="dxa"/>
            <w:vAlign w:val="bottom"/>
          </w:tcPr>
          <w:p>
            <w:pPr>
              <w:jc w:val="right"/>
              <w:spacing w:after="0"/>
              <w:rPr>
                <w:sz w:val="20"/>
                <w:szCs w:val="20"/>
                <w:color w:val="auto"/>
              </w:rPr>
            </w:pPr>
            <w:r>
              <w:rPr>
                <w:rFonts w:ascii="Arial" w:cs="Arial" w:eastAsia="Arial" w:hAnsi="Arial"/>
                <w:sz w:val="12"/>
                <w:szCs w:val="12"/>
                <w:color w:val="auto"/>
              </w:rPr>
              <w:t>6,727</w:t>
            </w:r>
          </w:p>
        </w:tc>
      </w:tr>
      <w:tr>
        <w:trPr>
          <w:trHeight w:val="153"/>
        </w:trPr>
        <w:tc>
          <w:tcPr>
            <w:tcW w:w="4540" w:type="dxa"/>
            <w:vAlign w:val="bottom"/>
            <w:shd w:val="clear" w:color="auto" w:fill="CCEEFF"/>
          </w:tcPr>
          <w:p>
            <w:pPr>
              <w:ind w:left="120"/>
              <w:spacing w:after="0"/>
              <w:rPr>
                <w:sz w:val="20"/>
                <w:szCs w:val="20"/>
                <w:color w:val="auto"/>
              </w:rPr>
            </w:pPr>
            <w:r>
              <w:rPr>
                <w:rFonts w:ascii="Arial" w:cs="Arial" w:eastAsia="Arial" w:hAnsi="Arial"/>
                <w:sz w:val="12"/>
                <w:szCs w:val="12"/>
                <w:color w:val="auto"/>
              </w:rPr>
              <w:t>Other operating expenses</w:t>
            </w:r>
          </w:p>
        </w:tc>
        <w:tc>
          <w:tcPr>
            <w:tcW w:w="2780" w:type="dxa"/>
            <w:vAlign w:val="bottom"/>
            <w:shd w:val="clear" w:color="auto" w:fill="CCEEFF"/>
          </w:tcPr>
          <w:p>
            <w:pPr>
              <w:jc w:val="right"/>
              <w:ind w:right="120"/>
              <w:spacing w:after="0"/>
              <w:rPr>
                <w:sz w:val="20"/>
                <w:szCs w:val="20"/>
                <w:color w:val="auto"/>
              </w:rPr>
            </w:pPr>
            <w:r>
              <w:rPr>
                <w:rFonts w:ascii="Arial" w:cs="Arial" w:eastAsia="Arial" w:hAnsi="Arial"/>
                <w:sz w:val="12"/>
                <w:szCs w:val="12"/>
                <w:color w:val="auto"/>
              </w:rPr>
              <w:t>62,750</w:t>
            </w:r>
          </w:p>
        </w:tc>
        <w:tc>
          <w:tcPr>
            <w:tcW w:w="1640" w:type="dxa"/>
            <w:vAlign w:val="bottom"/>
            <w:shd w:val="clear" w:color="auto" w:fill="CCEEFF"/>
          </w:tcPr>
          <w:p>
            <w:pPr>
              <w:jc w:val="right"/>
              <w:ind w:right="400"/>
              <w:spacing w:after="0"/>
              <w:rPr>
                <w:sz w:val="20"/>
                <w:szCs w:val="20"/>
                <w:color w:val="auto"/>
              </w:rPr>
            </w:pPr>
            <w:r>
              <w:rPr>
                <w:rFonts w:ascii="Arial" w:cs="Arial" w:eastAsia="Arial" w:hAnsi="Arial"/>
                <w:sz w:val="12"/>
                <w:szCs w:val="12"/>
                <w:color w:val="auto"/>
              </w:rPr>
              <w:t>71,455</w:t>
            </w:r>
          </w:p>
        </w:tc>
        <w:tc>
          <w:tcPr>
            <w:tcW w:w="1160" w:type="dxa"/>
            <w:vAlign w:val="bottom"/>
            <w:shd w:val="clear" w:color="auto" w:fill="CCEEFF"/>
          </w:tcPr>
          <w:p>
            <w:pPr>
              <w:jc w:val="right"/>
              <w:ind w:right="180"/>
              <w:spacing w:after="0"/>
              <w:rPr>
                <w:sz w:val="20"/>
                <w:szCs w:val="20"/>
                <w:color w:val="auto"/>
              </w:rPr>
            </w:pPr>
            <w:r>
              <w:rPr>
                <w:rFonts w:ascii="Arial" w:cs="Arial" w:eastAsia="Arial" w:hAnsi="Arial"/>
                <w:sz w:val="12"/>
                <w:szCs w:val="12"/>
                <w:color w:val="auto"/>
              </w:rPr>
              <w:t>131,564</w:t>
            </w:r>
          </w:p>
        </w:tc>
        <w:tc>
          <w:tcPr>
            <w:tcW w:w="11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146,135</w:t>
            </w:r>
          </w:p>
        </w:tc>
      </w:tr>
      <w:tr>
        <w:trPr>
          <w:trHeight w:val="153"/>
        </w:trPr>
        <w:tc>
          <w:tcPr>
            <w:tcW w:w="4540" w:type="dxa"/>
            <w:vAlign w:val="bottom"/>
          </w:tcPr>
          <w:p>
            <w:pPr>
              <w:ind w:left="120"/>
              <w:spacing w:after="0"/>
              <w:rPr>
                <w:sz w:val="20"/>
                <w:szCs w:val="20"/>
                <w:color w:val="auto"/>
              </w:rPr>
            </w:pPr>
            <w:r>
              <w:rPr>
                <w:rFonts w:ascii="Arial" w:cs="Arial" w:eastAsia="Arial" w:hAnsi="Arial"/>
                <w:sz w:val="12"/>
                <w:szCs w:val="12"/>
                <w:color w:val="auto"/>
              </w:rPr>
              <w:t>Insurance proceeds</w:t>
            </w:r>
          </w:p>
        </w:tc>
        <w:tc>
          <w:tcPr>
            <w:tcW w:w="2780" w:type="dxa"/>
            <w:vAlign w:val="bottom"/>
          </w:tcPr>
          <w:p>
            <w:pPr>
              <w:jc w:val="right"/>
              <w:ind w:right="80"/>
              <w:spacing w:after="0"/>
              <w:rPr>
                <w:sz w:val="20"/>
                <w:szCs w:val="20"/>
                <w:color w:val="auto"/>
              </w:rPr>
            </w:pPr>
            <w:r>
              <w:rPr>
                <w:rFonts w:ascii="Arial" w:cs="Arial" w:eastAsia="Arial" w:hAnsi="Arial"/>
                <w:sz w:val="12"/>
                <w:szCs w:val="12"/>
                <w:color w:val="auto"/>
              </w:rPr>
              <w:t>(3,840)</w:t>
            </w:r>
          </w:p>
        </w:tc>
        <w:tc>
          <w:tcPr>
            <w:tcW w:w="1640" w:type="dxa"/>
            <w:vAlign w:val="bottom"/>
          </w:tcPr>
          <w:p>
            <w:pPr>
              <w:jc w:val="right"/>
              <w:ind w:right="400"/>
              <w:spacing w:after="0"/>
              <w:rPr>
                <w:sz w:val="20"/>
                <w:szCs w:val="20"/>
                <w:color w:val="auto"/>
              </w:rPr>
            </w:pPr>
            <w:r>
              <w:rPr>
                <w:rFonts w:ascii="Arial" w:cs="Arial" w:eastAsia="Arial" w:hAnsi="Arial"/>
                <w:sz w:val="12"/>
                <w:szCs w:val="12"/>
                <w:color w:val="auto"/>
              </w:rPr>
              <w:t>—</w:t>
            </w:r>
          </w:p>
        </w:tc>
        <w:tc>
          <w:tcPr>
            <w:tcW w:w="1160" w:type="dxa"/>
            <w:vAlign w:val="bottom"/>
          </w:tcPr>
          <w:p>
            <w:pPr>
              <w:jc w:val="right"/>
              <w:ind w:right="140"/>
              <w:spacing w:after="0"/>
              <w:rPr>
                <w:sz w:val="20"/>
                <w:szCs w:val="20"/>
                <w:color w:val="auto"/>
              </w:rPr>
            </w:pPr>
            <w:r>
              <w:rPr>
                <w:rFonts w:ascii="Arial" w:cs="Arial" w:eastAsia="Arial" w:hAnsi="Arial"/>
                <w:sz w:val="12"/>
                <w:szCs w:val="12"/>
                <w:color w:val="auto"/>
              </w:rPr>
              <w:t>(5,840)</w:t>
            </w:r>
          </w:p>
        </w:tc>
        <w:tc>
          <w:tcPr>
            <w:tcW w:w="118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53"/>
        </w:trPr>
        <w:tc>
          <w:tcPr>
            <w:tcW w:w="4540" w:type="dxa"/>
            <w:vAlign w:val="bottom"/>
            <w:shd w:val="clear" w:color="auto" w:fill="CCEEFF"/>
          </w:tcPr>
          <w:p>
            <w:pPr>
              <w:ind w:left="120"/>
              <w:spacing w:after="0"/>
              <w:rPr>
                <w:sz w:val="20"/>
                <w:szCs w:val="20"/>
                <w:color w:val="auto"/>
              </w:rPr>
            </w:pPr>
            <w:r>
              <w:rPr>
                <w:rFonts w:ascii="Arial" w:cs="Arial" w:eastAsia="Arial" w:hAnsi="Arial"/>
                <w:sz w:val="12"/>
                <w:szCs w:val="12"/>
                <w:color w:val="auto"/>
              </w:rPr>
              <w:t>Depreciation and amortization</w:t>
            </w:r>
          </w:p>
        </w:tc>
        <w:tc>
          <w:tcPr>
            <w:tcW w:w="2780" w:type="dxa"/>
            <w:vAlign w:val="bottom"/>
            <w:shd w:val="clear" w:color="auto" w:fill="CCEEFF"/>
          </w:tcPr>
          <w:p>
            <w:pPr>
              <w:jc w:val="right"/>
              <w:ind w:right="120"/>
              <w:spacing w:after="0"/>
              <w:rPr>
                <w:sz w:val="20"/>
                <w:szCs w:val="20"/>
                <w:color w:val="auto"/>
              </w:rPr>
            </w:pPr>
            <w:r>
              <w:rPr>
                <w:rFonts w:ascii="Arial" w:cs="Arial" w:eastAsia="Arial" w:hAnsi="Arial"/>
                <w:sz w:val="12"/>
                <w:szCs w:val="12"/>
                <w:color w:val="auto"/>
              </w:rPr>
              <w:t>3,515</w:t>
            </w:r>
          </w:p>
        </w:tc>
        <w:tc>
          <w:tcPr>
            <w:tcW w:w="1640" w:type="dxa"/>
            <w:vAlign w:val="bottom"/>
            <w:shd w:val="clear" w:color="auto" w:fill="CCEEFF"/>
          </w:tcPr>
          <w:p>
            <w:pPr>
              <w:jc w:val="right"/>
              <w:ind w:right="400"/>
              <w:spacing w:after="0"/>
              <w:rPr>
                <w:sz w:val="20"/>
                <w:szCs w:val="20"/>
                <w:color w:val="auto"/>
              </w:rPr>
            </w:pPr>
            <w:r>
              <w:rPr>
                <w:rFonts w:ascii="Arial" w:cs="Arial" w:eastAsia="Arial" w:hAnsi="Arial"/>
                <w:sz w:val="12"/>
                <w:szCs w:val="12"/>
                <w:color w:val="auto"/>
              </w:rPr>
              <w:t>5,171</w:t>
            </w:r>
          </w:p>
        </w:tc>
        <w:tc>
          <w:tcPr>
            <w:tcW w:w="1160" w:type="dxa"/>
            <w:vAlign w:val="bottom"/>
            <w:shd w:val="clear" w:color="auto" w:fill="CCEEFF"/>
          </w:tcPr>
          <w:p>
            <w:pPr>
              <w:jc w:val="right"/>
              <w:ind w:right="180"/>
              <w:spacing w:after="0"/>
              <w:rPr>
                <w:sz w:val="20"/>
                <w:szCs w:val="20"/>
                <w:color w:val="auto"/>
              </w:rPr>
            </w:pPr>
            <w:r>
              <w:rPr>
                <w:rFonts w:ascii="Arial" w:cs="Arial" w:eastAsia="Arial" w:hAnsi="Arial"/>
                <w:sz w:val="12"/>
                <w:szCs w:val="12"/>
                <w:color w:val="auto"/>
              </w:rPr>
              <w:t>7,094</w:t>
            </w:r>
          </w:p>
        </w:tc>
        <w:tc>
          <w:tcPr>
            <w:tcW w:w="11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11,436</w:t>
            </w:r>
          </w:p>
        </w:tc>
      </w:tr>
      <w:tr>
        <w:trPr>
          <w:trHeight w:val="153"/>
        </w:trPr>
        <w:tc>
          <w:tcPr>
            <w:tcW w:w="4540" w:type="dxa"/>
            <w:vAlign w:val="bottom"/>
          </w:tcPr>
          <w:p>
            <w:pPr>
              <w:ind w:left="120"/>
              <w:spacing w:after="0"/>
              <w:rPr>
                <w:sz w:val="20"/>
                <w:szCs w:val="20"/>
                <w:color w:val="auto"/>
              </w:rPr>
            </w:pPr>
            <w:r>
              <w:rPr>
                <w:rFonts w:ascii="Arial" w:cs="Arial" w:eastAsia="Arial" w:hAnsi="Arial"/>
                <w:sz w:val="12"/>
                <w:szCs w:val="12"/>
                <w:color w:val="auto"/>
              </w:rPr>
              <w:t>(Gain) loss on asset sales, impairments and other, net</w:t>
            </w:r>
          </w:p>
        </w:tc>
        <w:tc>
          <w:tcPr>
            <w:tcW w:w="2780" w:type="dxa"/>
            <w:vAlign w:val="bottom"/>
          </w:tcPr>
          <w:p>
            <w:pPr>
              <w:jc w:val="right"/>
              <w:ind w:right="80"/>
              <w:spacing w:after="0"/>
              <w:rPr>
                <w:sz w:val="20"/>
                <w:szCs w:val="20"/>
                <w:color w:val="auto"/>
              </w:rPr>
            </w:pPr>
            <w:r>
              <w:rPr>
                <w:rFonts w:ascii="Arial" w:cs="Arial" w:eastAsia="Arial" w:hAnsi="Arial"/>
                <w:sz w:val="12"/>
                <w:szCs w:val="12"/>
                <w:color w:val="auto"/>
              </w:rPr>
              <w:t>(900)</w:t>
            </w:r>
          </w:p>
        </w:tc>
        <w:tc>
          <w:tcPr>
            <w:tcW w:w="1640" w:type="dxa"/>
            <w:vAlign w:val="bottom"/>
          </w:tcPr>
          <w:p>
            <w:pPr>
              <w:jc w:val="right"/>
              <w:ind w:right="400"/>
              <w:spacing w:after="0"/>
              <w:rPr>
                <w:sz w:val="20"/>
                <w:szCs w:val="20"/>
                <w:color w:val="auto"/>
              </w:rPr>
            </w:pPr>
            <w:r>
              <w:rPr>
                <w:rFonts w:ascii="Arial" w:cs="Arial" w:eastAsia="Arial" w:hAnsi="Arial"/>
                <w:sz w:val="12"/>
                <w:szCs w:val="12"/>
                <w:color w:val="auto"/>
              </w:rPr>
              <w:t>126</w:t>
            </w:r>
          </w:p>
        </w:tc>
        <w:tc>
          <w:tcPr>
            <w:tcW w:w="1160" w:type="dxa"/>
            <w:vAlign w:val="bottom"/>
          </w:tcPr>
          <w:p>
            <w:pPr>
              <w:jc w:val="right"/>
              <w:ind w:right="140"/>
              <w:spacing w:after="0"/>
              <w:rPr>
                <w:sz w:val="20"/>
                <w:szCs w:val="20"/>
                <w:color w:val="auto"/>
              </w:rPr>
            </w:pPr>
            <w:r>
              <w:rPr>
                <w:rFonts w:ascii="Arial" w:cs="Arial" w:eastAsia="Arial" w:hAnsi="Arial"/>
                <w:sz w:val="12"/>
                <w:szCs w:val="12"/>
                <w:color w:val="auto"/>
              </w:rPr>
              <w:t>(903)</w:t>
            </w:r>
          </w:p>
        </w:tc>
        <w:tc>
          <w:tcPr>
            <w:tcW w:w="1180" w:type="dxa"/>
            <w:vAlign w:val="bottom"/>
          </w:tcPr>
          <w:p>
            <w:pPr>
              <w:jc w:val="right"/>
              <w:spacing w:after="0"/>
              <w:rPr>
                <w:sz w:val="20"/>
                <w:szCs w:val="20"/>
                <w:color w:val="auto"/>
              </w:rPr>
            </w:pPr>
            <w:r>
              <w:rPr>
                <w:rFonts w:ascii="Arial" w:cs="Arial" w:eastAsia="Arial" w:hAnsi="Arial"/>
                <w:sz w:val="12"/>
                <w:szCs w:val="12"/>
                <w:color w:val="auto"/>
              </w:rPr>
              <w:t>(803)</w:t>
            </w:r>
          </w:p>
        </w:tc>
      </w:tr>
      <w:tr>
        <w:trPr>
          <w:trHeight w:val="153"/>
        </w:trPr>
        <w:tc>
          <w:tcPr>
            <w:tcW w:w="454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2"/>
                <w:szCs w:val="12"/>
                <w:color w:val="auto"/>
              </w:rPr>
              <w:t>Restructuring costs and other</w:t>
            </w:r>
          </w:p>
        </w:tc>
        <w:tc>
          <w:tcPr>
            <w:tcW w:w="278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2"/>
                <w:szCs w:val="12"/>
                <w:color w:val="auto"/>
              </w:rPr>
              <w:t>3,640</w:t>
            </w:r>
          </w:p>
        </w:tc>
        <w:tc>
          <w:tcPr>
            <w:tcW w:w="1640" w:type="dxa"/>
            <w:vAlign w:val="bottom"/>
            <w:tcBorders>
              <w:bottom w:val="single" w:sz="8" w:color="auto"/>
            </w:tcBorders>
            <w:shd w:val="clear" w:color="auto" w:fill="CCEEFF"/>
          </w:tcPr>
          <w:p>
            <w:pPr>
              <w:jc w:val="right"/>
              <w:ind w:right="400"/>
              <w:spacing w:after="0"/>
              <w:rPr>
                <w:sz w:val="20"/>
                <w:szCs w:val="20"/>
                <w:color w:val="auto"/>
              </w:rPr>
            </w:pPr>
            <w:r>
              <w:rPr>
                <w:rFonts w:ascii="Arial" w:cs="Arial" w:eastAsia="Arial" w:hAnsi="Arial"/>
                <w:sz w:val="12"/>
                <w:szCs w:val="12"/>
                <w:color w:val="auto"/>
              </w:rPr>
              <w:t>6,516</w:t>
            </w:r>
          </w:p>
        </w:tc>
        <w:tc>
          <w:tcPr>
            <w:tcW w:w="1160" w:type="dxa"/>
            <w:vAlign w:val="bottom"/>
            <w:tcBorders>
              <w:bottom w:val="single" w:sz="8" w:color="auto"/>
            </w:tcBorders>
            <w:shd w:val="clear" w:color="auto" w:fill="CCEEFF"/>
          </w:tcPr>
          <w:p>
            <w:pPr>
              <w:jc w:val="right"/>
              <w:ind w:right="180"/>
              <w:spacing w:after="0"/>
              <w:rPr>
                <w:sz w:val="20"/>
                <w:szCs w:val="20"/>
                <w:color w:val="auto"/>
              </w:rPr>
            </w:pPr>
            <w:r>
              <w:rPr>
                <w:rFonts w:ascii="Arial" w:cs="Arial" w:eastAsia="Arial" w:hAnsi="Arial"/>
                <w:sz w:val="12"/>
                <w:szCs w:val="12"/>
                <w:color w:val="auto"/>
              </w:rPr>
              <w:t>6,788</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11,666</w:t>
            </w:r>
          </w:p>
        </w:tc>
      </w:tr>
      <w:tr>
        <w:trPr>
          <w:trHeight w:val="142"/>
        </w:trPr>
        <w:tc>
          <w:tcPr>
            <w:tcW w:w="454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Total operating expenses</w:t>
            </w:r>
          </w:p>
        </w:tc>
        <w:tc>
          <w:tcPr>
            <w:tcW w:w="2780" w:type="dxa"/>
            <w:vAlign w:val="bottom"/>
            <w:tcBorders>
              <w:bottom w:val="single" w:sz="8" w:color="auto"/>
            </w:tcBorders>
          </w:tcPr>
          <w:p>
            <w:pPr>
              <w:jc w:val="right"/>
              <w:ind w:right="120"/>
              <w:spacing w:after="0"/>
              <w:rPr>
                <w:sz w:val="20"/>
                <w:szCs w:val="20"/>
                <w:color w:val="auto"/>
              </w:rPr>
            </w:pPr>
            <w:r>
              <w:rPr>
                <w:rFonts w:ascii="Arial" w:cs="Arial" w:eastAsia="Arial" w:hAnsi="Arial"/>
                <w:sz w:val="12"/>
                <w:szCs w:val="12"/>
                <w:color w:val="auto"/>
              </w:rPr>
              <w:t>114,430</w:t>
            </w:r>
          </w:p>
        </w:tc>
        <w:tc>
          <w:tcPr>
            <w:tcW w:w="1640" w:type="dxa"/>
            <w:vAlign w:val="bottom"/>
            <w:tcBorders>
              <w:bottom w:val="single" w:sz="8" w:color="auto"/>
            </w:tcBorders>
          </w:tcPr>
          <w:p>
            <w:pPr>
              <w:jc w:val="right"/>
              <w:ind w:right="400"/>
              <w:spacing w:after="0"/>
              <w:rPr>
                <w:sz w:val="20"/>
                <w:szCs w:val="20"/>
                <w:color w:val="auto"/>
              </w:rPr>
            </w:pPr>
            <w:r>
              <w:rPr>
                <w:rFonts w:ascii="Arial" w:cs="Arial" w:eastAsia="Arial" w:hAnsi="Arial"/>
                <w:sz w:val="12"/>
                <w:szCs w:val="12"/>
                <w:color w:val="auto"/>
              </w:rPr>
              <w:t>143,038</w:t>
            </w:r>
          </w:p>
        </w:tc>
        <w:tc>
          <w:tcPr>
            <w:tcW w:w="1160" w:type="dxa"/>
            <w:vAlign w:val="bottom"/>
            <w:tcBorders>
              <w:bottom w:val="single" w:sz="8" w:color="auto"/>
            </w:tcBorders>
          </w:tcPr>
          <w:p>
            <w:pPr>
              <w:jc w:val="right"/>
              <w:ind w:right="180"/>
              <w:spacing w:after="0"/>
              <w:rPr>
                <w:sz w:val="20"/>
                <w:szCs w:val="20"/>
                <w:color w:val="auto"/>
              </w:rPr>
            </w:pPr>
            <w:r>
              <w:rPr>
                <w:rFonts w:ascii="Arial" w:cs="Arial" w:eastAsia="Arial" w:hAnsi="Arial"/>
                <w:sz w:val="12"/>
                <w:szCs w:val="12"/>
                <w:color w:val="auto"/>
              </w:rPr>
              <w:t>240,364</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292,074</w:t>
            </w:r>
          </w:p>
        </w:tc>
      </w:tr>
      <w:tr>
        <w:trPr>
          <w:trHeight w:val="142"/>
        </w:trPr>
        <w:tc>
          <w:tcPr>
            <w:tcW w:w="45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2"/>
                <w:szCs w:val="12"/>
                <w:color w:val="auto"/>
              </w:rPr>
              <w:t>Equity in earnings of associated companies</w:t>
            </w:r>
          </w:p>
        </w:tc>
        <w:tc>
          <w:tcPr>
            <w:tcW w:w="278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2"/>
                <w:szCs w:val="12"/>
                <w:color w:val="auto"/>
              </w:rPr>
              <w:t>1,008</w:t>
            </w:r>
          </w:p>
        </w:tc>
        <w:tc>
          <w:tcPr>
            <w:tcW w:w="1640" w:type="dxa"/>
            <w:vAlign w:val="bottom"/>
            <w:tcBorders>
              <w:bottom w:val="single" w:sz="8" w:color="auto"/>
            </w:tcBorders>
            <w:shd w:val="clear" w:color="auto" w:fill="CCEEFF"/>
          </w:tcPr>
          <w:p>
            <w:pPr>
              <w:jc w:val="right"/>
              <w:ind w:right="400"/>
              <w:spacing w:after="0"/>
              <w:rPr>
                <w:sz w:val="20"/>
                <w:szCs w:val="20"/>
                <w:color w:val="auto"/>
              </w:rPr>
            </w:pPr>
            <w:r>
              <w:rPr>
                <w:rFonts w:ascii="Arial" w:cs="Arial" w:eastAsia="Arial" w:hAnsi="Arial"/>
                <w:sz w:val="12"/>
                <w:szCs w:val="12"/>
                <w:color w:val="auto"/>
              </w:rPr>
              <w:t>1,155</w:t>
            </w:r>
          </w:p>
        </w:tc>
        <w:tc>
          <w:tcPr>
            <w:tcW w:w="1160" w:type="dxa"/>
            <w:vAlign w:val="bottom"/>
            <w:tcBorders>
              <w:bottom w:val="single" w:sz="8" w:color="auto"/>
            </w:tcBorders>
            <w:shd w:val="clear" w:color="auto" w:fill="CCEEFF"/>
          </w:tcPr>
          <w:p>
            <w:pPr>
              <w:jc w:val="right"/>
              <w:ind w:right="180"/>
              <w:spacing w:after="0"/>
              <w:rPr>
                <w:sz w:val="20"/>
                <w:szCs w:val="20"/>
                <w:color w:val="auto"/>
              </w:rPr>
            </w:pPr>
            <w:r>
              <w:rPr>
                <w:rFonts w:ascii="Arial" w:cs="Arial" w:eastAsia="Arial" w:hAnsi="Arial"/>
                <w:sz w:val="12"/>
                <w:szCs w:val="12"/>
                <w:color w:val="auto"/>
              </w:rPr>
              <w:t>2,088</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2,277</w:t>
            </w:r>
          </w:p>
        </w:tc>
      </w:tr>
      <w:tr>
        <w:trPr>
          <w:trHeight w:val="142"/>
        </w:trPr>
        <w:tc>
          <w:tcPr>
            <w:tcW w:w="454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Operating income (loss)</w:t>
            </w:r>
          </w:p>
        </w:tc>
        <w:tc>
          <w:tcPr>
            <w:tcW w:w="2780" w:type="dxa"/>
            <w:vAlign w:val="bottom"/>
            <w:tcBorders>
              <w:bottom w:val="single" w:sz="8" w:color="auto"/>
            </w:tcBorders>
          </w:tcPr>
          <w:p>
            <w:pPr>
              <w:jc w:val="right"/>
              <w:ind w:right="120"/>
              <w:spacing w:after="0"/>
              <w:rPr>
                <w:sz w:val="20"/>
                <w:szCs w:val="20"/>
                <w:color w:val="auto"/>
              </w:rPr>
            </w:pPr>
            <w:r>
              <w:rPr>
                <w:rFonts w:ascii="Arial" w:cs="Arial" w:eastAsia="Arial" w:hAnsi="Arial"/>
                <w:sz w:val="12"/>
                <w:szCs w:val="12"/>
                <w:color w:val="auto"/>
              </w:rPr>
              <w:t>8,542</w:t>
            </w:r>
          </w:p>
        </w:tc>
        <w:tc>
          <w:tcPr>
            <w:tcW w:w="1640" w:type="dxa"/>
            <w:vAlign w:val="bottom"/>
            <w:tcBorders>
              <w:bottom w:val="single" w:sz="8" w:color="auto"/>
            </w:tcBorders>
          </w:tcPr>
          <w:p>
            <w:pPr>
              <w:jc w:val="right"/>
              <w:ind w:right="360"/>
              <w:spacing w:after="0"/>
              <w:rPr>
                <w:sz w:val="20"/>
                <w:szCs w:val="20"/>
                <w:color w:val="auto"/>
              </w:rPr>
            </w:pPr>
            <w:r>
              <w:rPr>
                <w:rFonts w:ascii="Arial" w:cs="Arial" w:eastAsia="Arial" w:hAnsi="Arial"/>
                <w:sz w:val="12"/>
                <w:szCs w:val="12"/>
                <w:color w:val="auto"/>
              </w:rPr>
              <w:t>(4,503)</w:t>
            </w:r>
          </w:p>
        </w:tc>
        <w:tc>
          <w:tcPr>
            <w:tcW w:w="1160" w:type="dxa"/>
            <w:vAlign w:val="bottom"/>
            <w:tcBorders>
              <w:bottom w:val="single" w:sz="8" w:color="auto"/>
            </w:tcBorders>
          </w:tcPr>
          <w:p>
            <w:pPr>
              <w:jc w:val="right"/>
              <w:ind w:right="180"/>
              <w:spacing w:after="0"/>
              <w:rPr>
                <w:sz w:val="20"/>
                <w:szCs w:val="20"/>
                <w:color w:val="auto"/>
              </w:rPr>
            </w:pPr>
            <w:r>
              <w:rPr>
                <w:rFonts w:ascii="Arial" w:cs="Arial" w:eastAsia="Arial" w:hAnsi="Arial"/>
                <w:sz w:val="12"/>
                <w:szCs w:val="12"/>
                <w:color w:val="auto"/>
              </w:rPr>
              <w:t>13,750</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(7,855)</w:t>
            </w:r>
          </w:p>
        </w:tc>
      </w:tr>
      <w:tr>
        <w:trPr>
          <w:trHeight w:val="142"/>
        </w:trPr>
        <w:tc>
          <w:tcPr>
            <w:tcW w:w="4540" w:type="dxa"/>
            <w:vAlign w:val="bottom"/>
            <w:shd w:val="clear" w:color="auto" w:fill="CCEEFF"/>
          </w:tcPr>
          <w:p>
            <w:pPr>
              <w:spacing w:after="0"/>
              <w:rPr>
                <w:sz w:val="20"/>
                <w:szCs w:val="20"/>
                <w:color w:val="auto"/>
              </w:rPr>
            </w:pPr>
            <w:r>
              <w:rPr>
                <w:rFonts w:ascii="Arial" w:cs="Arial" w:eastAsia="Arial" w:hAnsi="Arial"/>
                <w:sz w:val="12"/>
                <w:szCs w:val="12"/>
                <w:color w:val="auto"/>
              </w:rPr>
              <w:t>Non-operating (expense) income:</w:t>
            </w:r>
          </w:p>
        </w:tc>
        <w:tc>
          <w:tcPr>
            <w:tcW w:w="2780" w:type="dxa"/>
            <w:vAlign w:val="bottom"/>
            <w:shd w:val="clear" w:color="auto" w:fill="CCEEFF"/>
          </w:tcPr>
          <w:p>
            <w:pPr>
              <w:spacing w:after="0"/>
              <w:rPr>
                <w:sz w:val="12"/>
                <w:szCs w:val="12"/>
                <w:color w:val="auto"/>
              </w:rPr>
            </w:pPr>
          </w:p>
        </w:tc>
        <w:tc>
          <w:tcPr>
            <w:tcW w:w="164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r>
      <w:tr>
        <w:trPr>
          <w:trHeight w:val="153"/>
        </w:trPr>
        <w:tc>
          <w:tcPr>
            <w:tcW w:w="4540" w:type="dxa"/>
            <w:vAlign w:val="bottom"/>
          </w:tcPr>
          <w:p>
            <w:pPr>
              <w:ind w:left="120"/>
              <w:spacing w:after="0"/>
              <w:rPr>
                <w:sz w:val="20"/>
                <w:szCs w:val="20"/>
                <w:color w:val="auto"/>
              </w:rPr>
            </w:pPr>
            <w:r>
              <w:rPr>
                <w:rFonts w:ascii="Arial" w:cs="Arial" w:eastAsia="Arial" w:hAnsi="Arial"/>
                <w:sz w:val="12"/>
                <w:szCs w:val="12"/>
                <w:color w:val="auto"/>
              </w:rPr>
              <w:t>Interest expense</w:t>
            </w:r>
          </w:p>
        </w:tc>
        <w:tc>
          <w:tcPr>
            <w:tcW w:w="2780" w:type="dxa"/>
            <w:vAlign w:val="bottom"/>
          </w:tcPr>
          <w:p>
            <w:pPr>
              <w:jc w:val="right"/>
              <w:ind w:right="80"/>
              <w:spacing w:after="0"/>
              <w:rPr>
                <w:sz w:val="20"/>
                <w:szCs w:val="20"/>
                <w:color w:val="auto"/>
              </w:rPr>
            </w:pPr>
            <w:r>
              <w:rPr>
                <w:rFonts w:ascii="Arial" w:cs="Arial" w:eastAsia="Arial" w:hAnsi="Arial"/>
                <w:sz w:val="12"/>
                <w:szCs w:val="12"/>
                <w:color w:val="auto"/>
              </w:rPr>
              <w:t>(7,629)</w:t>
            </w:r>
          </w:p>
        </w:tc>
        <w:tc>
          <w:tcPr>
            <w:tcW w:w="1640" w:type="dxa"/>
            <w:vAlign w:val="bottom"/>
          </w:tcPr>
          <w:p>
            <w:pPr>
              <w:jc w:val="right"/>
              <w:ind w:right="360"/>
              <w:spacing w:after="0"/>
              <w:rPr>
                <w:sz w:val="20"/>
                <w:szCs w:val="20"/>
                <w:color w:val="auto"/>
              </w:rPr>
            </w:pPr>
            <w:r>
              <w:rPr>
                <w:rFonts w:ascii="Arial" w:cs="Arial" w:eastAsia="Arial" w:hAnsi="Arial"/>
                <w:sz w:val="12"/>
                <w:szCs w:val="12"/>
                <w:color w:val="auto"/>
              </w:rPr>
              <w:t>(9,950)</w:t>
            </w:r>
          </w:p>
        </w:tc>
        <w:tc>
          <w:tcPr>
            <w:tcW w:w="1160" w:type="dxa"/>
            <w:vAlign w:val="bottom"/>
          </w:tcPr>
          <w:p>
            <w:pPr>
              <w:jc w:val="right"/>
              <w:ind w:right="140"/>
              <w:spacing w:after="0"/>
              <w:rPr>
                <w:sz w:val="20"/>
                <w:szCs w:val="20"/>
                <w:color w:val="auto"/>
              </w:rPr>
            </w:pPr>
            <w:r>
              <w:rPr>
                <w:rFonts w:ascii="Arial" w:cs="Arial" w:eastAsia="Arial" w:hAnsi="Arial"/>
                <w:sz w:val="12"/>
                <w:szCs w:val="12"/>
                <w:color w:val="auto"/>
              </w:rPr>
              <w:t>(17,877)</w:t>
            </w:r>
          </w:p>
        </w:tc>
        <w:tc>
          <w:tcPr>
            <w:tcW w:w="1180" w:type="dxa"/>
            <w:vAlign w:val="bottom"/>
          </w:tcPr>
          <w:p>
            <w:pPr>
              <w:jc w:val="right"/>
              <w:spacing w:after="0"/>
              <w:rPr>
                <w:sz w:val="20"/>
                <w:szCs w:val="20"/>
                <w:color w:val="auto"/>
              </w:rPr>
            </w:pPr>
            <w:r>
              <w:rPr>
                <w:rFonts w:ascii="Arial" w:cs="Arial" w:eastAsia="Arial" w:hAnsi="Arial"/>
                <w:sz w:val="12"/>
                <w:szCs w:val="12"/>
                <w:color w:val="auto"/>
              </w:rPr>
              <w:t>(20,232)</w:t>
            </w:r>
          </w:p>
        </w:tc>
      </w:tr>
      <w:tr>
        <w:trPr>
          <w:trHeight w:val="153"/>
        </w:trPr>
        <w:tc>
          <w:tcPr>
            <w:tcW w:w="4540" w:type="dxa"/>
            <w:vAlign w:val="bottom"/>
            <w:shd w:val="clear" w:color="auto" w:fill="CCEEFF"/>
          </w:tcPr>
          <w:p>
            <w:pPr>
              <w:ind w:left="120"/>
              <w:spacing w:after="0"/>
              <w:rPr>
                <w:sz w:val="20"/>
                <w:szCs w:val="20"/>
                <w:color w:val="auto"/>
              </w:rPr>
            </w:pPr>
            <w:r>
              <w:rPr>
                <w:rFonts w:ascii="Arial" w:cs="Arial" w:eastAsia="Arial" w:hAnsi="Arial"/>
                <w:sz w:val="12"/>
                <w:szCs w:val="12"/>
                <w:color w:val="auto"/>
              </w:rPr>
              <w:t>Pension and OPEB related benefit and other, net</w:t>
            </w:r>
          </w:p>
        </w:tc>
        <w:tc>
          <w:tcPr>
            <w:tcW w:w="2780" w:type="dxa"/>
            <w:vAlign w:val="bottom"/>
            <w:shd w:val="clear" w:color="auto" w:fill="CCEEFF"/>
          </w:tcPr>
          <w:p>
            <w:pPr>
              <w:jc w:val="right"/>
              <w:ind w:right="120"/>
              <w:spacing w:after="0"/>
              <w:rPr>
                <w:sz w:val="20"/>
                <w:szCs w:val="20"/>
                <w:color w:val="auto"/>
              </w:rPr>
            </w:pPr>
            <w:r>
              <w:rPr>
                <w:rFonts w:ascii="Arial" w:cs="Arial" w:eastAsia="Arial" w:hAnsi="Arial"/>
                <w:sz w:val="12"/>
                <w:szCs w:val="12"/>
                <w:color w:val="auto"/>
              </w:rPr>
              <w:t>826</w:t>
            </w:r>
          </w:p>
        </w:tc>
        <w:tc>
          <w:tcPr>
            <w:tcW w:w="1640" w:type="dxa"/>
            <w:vAlign w:val="bottom"/>
            <w:shd w:val="clear" w:color="auto" w:fill="CCEEFF"/>
          </w:tcPr>
          <w:p>
            <w:pPr>
              <w:jc w:val="right"/>
              <w:ind w:right="400"/>
              <w:spacing w:after="0"/>
              <w:rPr>
                <w:sz w:val="20"/>
                <w:szCs w:val="20"/>
                <w:color w:val="auto"/>
              </w:rPr>
            </w:pPr>
            <w:r>
              <w:rPr>
                <w:rFonts w:ascii="Arial" w:cs="Arial" w:eastAsia="Arial" w:hAnsi="Arial"/>
                <w:sz w:val="12"/>
                <w:szCs w:val="12"/>
                <w:color w:val="auto"/>
              </w:rPr>
              <w:t>658</w:t>
            </w:r>
          </w:p>
        </w:tc>
        <w:tc>
          <w:tcPr>
            <w:tcW w:w="1160" w:type="dxa"/>
            <w:vAlign w:val="bottom"/>
            <w:shd w:val="clear" w:color="auto" w:fill="CCEEFF"/>
          </w:tcPr>
          <w:p>
            <w:pPr>
              <w:jc w:val="right"/>
              <w:ind w:right="180"/>
              <w:spacing w:after="0"/>
              <w:rPr>
                <w:sz w:val="20"/>
                <w:szCs w:val="20"/>
                <w:color w:val="auto"/>
              </w:rPr>
            </w:pPr>
            <w:r>
              <w:rPr>
                <w:rFonts w:ascii="Arial" w:cs="Arial" w:eastAsia="Arial" w:hAnsi="Arial"/>
                <w:sz w:val="12"/>
                <w:szCs w:val="12"/>
                <w:color w:val="auto"/>
              </w:rPr>
              <w:t>1,671</w:t>
            </w:r>
          </w:p>
        </w:tc>
        <w:tc>
          <w:tcPr>
            <w:tcW w:w="11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1,311</w:t>
            </w:r>
          </w:p>
        </w:tc>
      </w:tr>
      <w:tr>
        <w:trPr>
          <w:trHeight w:val="153"/>
        </w:trPr>
        <w:tc>
          <w:tcPr>
            <w:tcW w:w="4540" w:type="dxa"/>
            <w:vAlign w:val="bottom"/>
            <w:tcBorders>
              <w:bottom w:val="single" w:sz="8" w:color="auto"/>
            </w:tcBorders>
          </w:tcPr>
          <w:p>
            <w:pPr>
              <w:ind w:left="120"/>
              <w:spacing w:after="0"/>
              <w:rPr>
                <w:sz w:val="20"/>
                <w:szCs w:val="20"/>
                <w:color w:val="auto"/>
              </w:rPr>
            </w:pPr>
            <w:r>
              <w:rPr>
                <w:rFonts w:ascii="Arial" w:cs="Arial" w:eastAsia="Arial" w:hAnsi="Arial"/>
                <w:sz w:val="12"/>
                <w:szCs w:val="12"/>
                <w:color w:val="auto"/>
              </w:rPr>
              <w:t>Curtailment/Settlement gains</w:t>
            </w:r>
          </w:p>
        </w:tc>
        <w:tc>
          <w:tcPr>
            <w:tcW w:w="2780" w:type="dxa"/>
            <w:vAlign w:val="bottom"/>
            <w:tcBorders>
              <w:bottom w:val="single" w:sz="8" w:color="auto"/>
            </w:tcBorders>
          </w:tcPr>
          <w:p>
            <w:pPr>
              <w:jc w:val="right"/>
              <w:ind w:right="120"/>
              <w:spacing w:after="0"/>
              <w:rPr>
                <w:sz w:val="20"/>
                <w:szCs w:val="20"/>
                <w:color w:val="auto"/>
              </w:rPr>
            </w:pPr>
            <w:r>
              <w:rPr>
                <w:rFonts w:ascii="Arial" w:cs="Arial" w:eastAsia="Arial" w:hAnsi="Arial"/>
                <w:sz w:val="12"/>
                <w:szCs w:val="12"/>
                <w:color w:val="auto"/>
              </w:rPr>
              <w:t>—</w:t>
            </w:r>
          </w:p>
        </w:tc>
        <w:tc>
          <w:tcPr>
            <w:tcW w:w="1640" w:type="dxa"/>
            <w:vAlign w:val="bottom"/>
            <w:tcBorders>
              <w:bottom w:val="single" w:sz="8" w:color="auto"/>
            </w:tcBorders>
          </w:tcPr>
          <w:p>
            <w:pPr>
              <w:jc w:val="right"/>
              <w:ind w:right="400"/>
              <w:spacing w:after="0"/>
              <w:rPr>
                <w:sz w:val="20"/>
                <w:szCs w:val="20"/>
                <w:color w:val="auto"/>
              </w:rPr>
            </w:pPr>
            <w:r>
              <w:rPr>
                <w:rFonts w:ascii="Arial" w:cs="Arial" w:eastAsia="Arial" w:hAnsi="Arial"/>
                <w:sz w:val="12"/>
                <w:szCs w:val="12"/>
                <w:color w:val="auto"/>
              </w:rPr>
              <w:t>—</w:t>
            </w:r>
          </w:p>
        </w:tc>
        <w:tc>
          <w:tcPr>
            <w:tcW w:w="1160" w:type="dxa"/>
            <w:vAlign w:val="bottom"/>
            <w:tcBorders>
              <w:bottom w:val="single" w:sz="8" w:color="auto"/>
            </w:tcBorders>
          </w:tcPr>
          <w:p>
            <w:pPr>
              <w:jc w:val="right"/>
              <w:ind w:right="180"/>
              <w:spacing w:after="0"/>
              <w:rPr>
                <w:sz w:val="20"/>
                <w:szCs w:val="20"/>
                <w:color w:val="auto"/>
              </w:rPr>
            </w:pPr>
            <w:r>
              <w:rPr>
                <w:rFonts w:ascii="Arial" w:cs="Arial" w:eastAsia="Arial" w:hAnsi="Arial"/>
                <w:sz w:val="12"/>
                <w:szCs w:val="12"/>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r>
      <w:tr>
        <w:trPr>
          <w:trHeight w:val="142"/>
        </w:trPr>
        <w:tc>
          <w:tcPr>
            <w:tcW w:w="45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2"/>
                <w:szCs w:val="12"/>
                <w:color w:val="auto"/>
              </w:rPr>
              <w:t>Total non-operating expense, net</w:t>
            </w:r>
          </w:p>
        </w:tc>
        <w:tc>
          <w:tcPr>
            <w:tcW w:w="278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2"/>
                <w:szCs w:val="12"/>
                <w:color w:val="auto"/>
              </w:rPr>
              <w:t>(6,803)</w:t>
            </w:r>
          </w:p>
        </w:tc>
        <w:tc>
          <w:tcPr>
            <w:tcW w:w="1640" w:type="dxa"/>
            <w:vAlign w:val="bottom"/>
            <w:tcBorders>
              <w:bottom w:val="single" w:sz="8" w:color="auto"/>
            </w:tcBorders>
            <w:shd w:val="clear" w:color="auto" w:fill="CCEEFF"/>
          </w:tcPr>
          <w:p>
            <w:pPr>
              <w:jc w:val="right"/>
              <w:ind w:right="360"/>
              <w:spacing w:after="0"/>
              <w:rPr>
                <w:sz w:val="20"/>
                <w:szCs w:val="20"/>
                <w:color w:val="auto"/>
              </w:rPr>
            </w:pPr>
            <w:r>
              <w:rPr>
                <w:rFonts w:ascii="Arial" w:cs="Arial" w:eastAsia="Arial" w:hAnsi="Arial"/>
                <w:sz w:val="12"/>
                <w:szCs w:val="12"/>
                <w:color w:val="auto"/>
              </w:rPr>
              <w:t>(9,292)</w:t>
            </w:r>
          </w:p>
        </w:tc>
        <w:tc>
          <w:tcPr>
            <w:tcW w:w="116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2"/>
                <w:szCs w:val="12"/>
                <w:color w:val="auto"/>
              </w:rPr>
              <w:t>(16,206)</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(18,921)</w:t>
            </w:r>
          </w:p>
        </w:tc>
      </w:tr>
      <w:tr>
        <w:trPr>
          <w:trHeight w:val="142"/>
        </w:trPr>
        <w:tc>
          <w:tcPr>
            <w:tcW w:w="4540" w:type="dxa"/>
            <w:vAlign w:val="bottom"/>
          </w:tcPr>
          <w:p>
            <w:pPr>
              <w:spacing w:after="0"/>
              <w:rPr>
                <w:sz w:val="20"/>
                <w:szCs w:val="20"/>
                <w:color w:val="auto"/>
              </w:rPr>
            </w:pPr>
            <w:r>
              <w:rPr>
                <w:rFonts w:ascii="Arial" w:cs="Arial" w:eastAsia="Arial" w:hAnsi="Arial"/>
                <w:sz w:val="12"/>
                <w:szCs w:val="12"/>
                <w:color w:val="auto"/>
              </w:rPr>
              <w:t>Income (loss) before income taxes</w:t>
            </w:r>
          </w:p>
        </w:tc>
        <w:tc>
          <w:tcPr>
            <w:tcW w:w="2780" w:type="dxa"/>
            <w:vAlign w:val="bottom"/>
          </w:tcPr>
          <w:p>
            <w:pPr>
              <w:jc w:val="right"/>
              <w:ind w:right="120"/>
              <w:spacing w:after="0"/>
              <w:rPr>
                <w:sz w:val="20"/>
                <w:szCs w:val="20"/>
                <w:color w:val="auto"/>
              </w:rPr>
            </w:pPr>
            <w:r>
              <w:rPr>
                <w:rFonts w:ascii="Arial" w:cs="Arial" w:eastAsia="Arial" w:hAnsi="Arial"/>
                <w:sz w:val="12"/>
                <w:szCs w:val="12"/>
                <w:color w:val="auto"/>
              </w:rPr>
              <w:t>1,739</w:t>
            </w:r>
          </w:p>
        </w:tc>
        <w:tc>
          <w:tcPr>
            <w:tcW w:w="1640" w:type="dxa"/>
            <w:vAlign w:val="bottom"/>
          </w:tcPr>
          <w:p>
            <w:pPr>
              <w:jc w:val="right"/>
              <w:ind w:right="360"/>
              <w:spacing w:after="0"/>
              <w:rPr>
                <w:sz w:val="20"/>
                <w:szCs w:val="20"/>
                <w:color w:val="auto"/>
              </w:rPr>
            </w:pPr>
            <w:r>
              <w:rPr>
                <w:rFonts w:ascii="Arial" w:cs="Arial" w:eastAsia="Arial" w:hAnsi="Arial"/>
                <w:sz w:val="12"/>
                <w:szCs w:val="12"/>
                <w:color w:val="auto"/>
              </w:rPr>
              <w:t>(13,795)</w:t>
            </w:r>
          </w:p>
        </w:tc>
        <w:tc>
          <w:tcPr>
            <w:tcW w:w="1160" w:type="dxa"/>
            <w:vAlign w:val="bottom"/>
          </w:tcPr>
          <w:p>
            <w:pPr>
              <w:jc w:val="right"/>
              <w:ind w:right="140"/>
              <w:spacing w:after="0"/>
              <w:rPr>
                <w:sz w:val="20"/>
                <w:szCs w:val="20"/>
                <w:color w:val="auto"/>
              </w:rPr>
            </w:pPr>
            <w:r>
              <w:rPr>
                <w:rFonts w:ascii="Arial" w:cs="Arial" w:eastAsia="Arial" w:hAnsi="Arial"/>
                <w:sz w:val="12"/>
                <w:szCs w:val="12"/>
                <w:color w:val="auto"/>
              </w:rPr>
              <w:t>(2,456)</w:t>
            </w:r>
          </w:p>
        </w:tc>
        <w:tc>
          <w:tcPr>
            <w:tcW w:w="1180" w:type="dxa"/>
            <w:vAlign w:val="bottom"/>
          </w:tcPr>
          <w:p>
            <w:pPr>
              <w:jc w:val="right"/>
              <w:spacing w:after="0"/>
              <w:rPr>
                <w:sz w:val="20"/>
                <w:szCs w:val="20"/>
                <w:color w:val="auto"/>
              </w:rPr>
            </w:pPr>
            <w:r>
              <w:rPr>
                <w:rFonts w:ascii="Arial" w:cs="Arial" w:eastAsia="Arial" w:hAnsi="Arial"/>
                <w:sz w:val="12"/>
                <w:szCs w:val="12"/>
                <w:color w:val="auto"/>
              </w:rPr>
              <w:t>(26,776)</w:t>
            </w:r>
          </w:p>
        </w:tc>
      </w:tr>
      <w:tr>
        <w:trPr>
          <w:trHeight w:val="153"/>
        </w:trPr>
        <w:tc>
          <w:tcPr>
            <w:tcW w:w="45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2"/>
                <w:szCs w:val="12"/>
                <w:color w:val="auto"/>
              </w:rPr>
              <w:t>Income tax expense (benefit)</w:t>
            </w:r>
          </w:p>
        </w:tc>
        <w:tc>
          <w:tcPr>
            <w:tcW w:w="278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2"/>
                <w:szCs w:val="12"/>
                <w:color w:val="auto"/>
              </w:rPr>
              <w:t>3,448</w:t>
            </w:r>
          </w:p>
        </w:tc>
        <w:tc>
          <w:tcPr>
            <w:tcW w:w="1640" w:type="dxa"/>
            <w:vAlign w:val="bottom"/>
            <w:tcBorders>
              <w:bottom w:val="single" w:sz="8" w:color="auto"/>
            </w:tcBorders>
            <w:shd w:val="clear" w:color="auto" w:fill="CCEEFF"/>
          </w:tcPr>
          <w:p>
            <w:pPr>
              <w:jc w:val="right"/>
              <w:ind w:right="360"/>
              <w:spacing w:after="0"/>
              <w:rPr>
                <w:sz w:val="20"/>
                <w:szCs w:val="20"/>
                <w:color w:val="auto"/>
              </w:rPr>
            </w:pPr>
            <w:r>
              <w:rPr>
                <w:rFonts w:ascii="Arial" w:cs="Arial" w:eastAsia="Arial" w:hAnsi="Arial"/>
                <w:sz w:val="12"/>
                <w:szCs w:val="12"/>
                <w:color w:val="auto"/>
              </w:rPr>
              <w:t>(1,780)</w:t>
            </w:r>
          </w:p>
        </w:tc>
        <w:tc>
          <w:tcPr>
            <w:tcW w:w="1160" w:type="dxa"/>
            <w:vAlign w:val="bottom"/>
            <w:tcBorders>
              <w:bottom w:val="single" w:sz="8" w:color="auto"/>
            </w:tcBorders>
            <w:shd w:val="clear" w:color="auto" w:fill="CCEEFF"/>
          </w:tcPr>
          <w:p>
            <w:pPr>
              <w:jc w:val="right"/>
              <w:ind w:right="180"/>
              <w:spacing w:after="0"/>
              <w:rPr>
                <w:sz w:val="20"/>
                <w:szCs w:val="20"/>
                <w:color w:val="auto"/>
              </w:rPr>
            </w:pPr>
            <w:r>
              <w:rPr>
                <w:rFonts w:ascii="Arial" w:cs="Arial" w:eastAsia="Arial" w:hAnsi="Arial"/>
                <w:sz w:val="12"/>
                <w:szCs w:val="12"/>
                <w:color w:val="auto"/>
              </w:rPr>
              <w:t>4,379</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1,463</w:t>
            </w:r>
          </w:p>
        </w:tc>
      </w:tr>
      <w:tr>
        <w:trPr>
          <w:trHeight w:val="142"/>
        </w:trPr>
        <w:tc>
          <w:tcPr>
            <w:tcW w:w="4540" w:type="dxa"/>
            <w:vAlign w:val="bottom"/>
          </w:tcPr>
          <w:p>
            <w:pPr>
              <w:spacing w:after="0"/>
              <w:rPr>
                <w:sz w:val="20"/>
                <w:szCs w:val="20"/>
                <w:color w:val="auto"/>
              </w:rPr>
            </w:pPr>
            <w:r>
              <w:rPr>
                <w:rFonts w:ascii="Arial" w:cs="Arial" w:eastAsia="Arial" w:hAnsi="Arial"/>
                <w:sz w:val="12"/>
                <w:szCs w:val="12"/>
                <w:color w:val="auto"/>
              </w:rPr>
              <w:t>Net loss</w:t>
            </w:r>
          </w:p>
        </w:tc>
        <w:tc>
          <w:tcPr>
            <w:tcW w:w="2780" w:type="dxa"/>
            <w:vAlign w:val="bottom"/>
          </w:tcPr>
          <w:p>
            <w:pPr>
              <w:jc w:val="right"/>
              <w:ind w:right="80"/>
              <w:spacing w:after="0"/>
              <w:rPr>
                <w:sz w:val="20"/>
                <w:szCs w:val="20"/>
                <w:color w:val="auto"/>
              </w:rPr>
            </w:pPr>
            <w:r>
              <w:rPr>
                <w:rFonts w:ascii="Arial" w:cs="Arial" w:eastAsia="Arial" w:hAnsi="Arial"/>
                <w:sz w:val="12"/>
                <w:szCs w:val="12"/>
                <w:color w:val="auto"/>
              </w:rPr>
              <w:t>(1,709)</w:t>
            </w:r>
          </w:p>
        </w:tc>
        <w:tc>
          <w:tcPr>
            <w:tcW w:w="1640" w:type="dxa"/>
            <w:vAlign w:val="bottom"/>
          </w:tcPr>
          <w:p>
            <w:pPr>
              <w:jc w:val="right"/>
              <w:ind w:right="360"/>
              <w:spacing w:after="0"/>
              <w:rPr>
                <w:sz w:val="20"/>
                <w:szCs w:val="20"/>
                <w:color w:val="auto"/>
              </w:rPr>
            </w:pPr>
            <w:r>
              <w:rPr>
                <w:rFonts w:ascii="Arial" w:cs="Arial" w:eastAsia="Arial" w:hAnsi="Arial"/>
                <w:sz w:val="12"/>
                <w:szCs w:val="12"/>
                <w:color w:val="auto"/>
              </w:rPr>
              <w:t>(12,015)</w:t>
            </w:r>
          </w:p>
        </w:tc>
        <w:tc>
          <w:tcPr>
            <w:tcW w:w="1160" w:type="dxa"/>
            <w:vAlign w:val="bottom"/>
          </w:tcPr>
          <w:p>
            <w:pPr>
              <w:jc w:val="right"/>
              <w:ind w:right="140"/>
              <w:spacing w:after="0"/>
              <w:rPr>
                <w:sz w:val="20"/>
                <w:szCs w:val="20"/>
                <w:color w:val="auto"/>
              </w:rPr>
            </w:pPr>
            <w:r>
              <w:rPr>
                <w:rFonts w:ascii="Arial" w:cs="Arial" w:eastAsia="Arial" w:hAnsi="Arial"/>
                <w:sz w:val="12"/>
                <w:szCs w:val="12"/>
                <w:color w:val="auto"/>
              </w:rPr>
              <w:t>(6,835)</w:t>
            </w:r>
          </w:p>
        </w:tc>
        <w:tc>
          <w:tcPr>
            <w:tcW w:w="1180" w:type="dxa"/>
            <w:vAlign w:val="bottom"/>
          </w:tcPr>
          <w:p>
            <w:pPr>
              <w:jc w:val="right"/>
              <w:spacing w:after="0"/>
              <w:rPr>
                <w:sz w:val="20"/>
                <w:szCs w:val="20"/>
                <w:color w:val="auto"/>
              </w:rPr>
            </w:pPr>
            <w:r>
              <w:rPr>
                <w:rFonts w:ascii="Arial" w:cs="Arial" w:eastAsia="Arial" w:hAnsi="Arial"/>
                <w:sz w:val="12"/>
                <w:szCs w:val="12"/>
                <w:color w:val="auto"/>
              </w:rPr>
              <w:t>(28,239)</w:t>
            </w:r>
          </w:p>
        </w:tc>
      </w:tr>
      <w:tr>
        <w:trPr>
          <w:trHeight w:val="153"/>
        </w:trPr>
        <w:tc>
          <w:tcPr>
            <w:tcW w:w="45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2"/>
                <w:szCs w:val="12"/>
                <w:color w:val="auto"/>
              </w:rPr>
              <w:t>Net loss attributable to non-controlling interests</w:t>
            </w:r>
          </w:p>
        </w:tc>
        <w:tc>
          <w:tcPr>
            <w:tcW w:w="278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2"/>
                <w:szCs w:val="12"/>
                <w:color w:val="auto"/>
              </w:rPr>
              <w:t>(439)</w:t>
            </w:r>
          </w:p>
        </w:tc>
        <w:tc>
          <w:tcPr>
            <w:tcW w:w="1640" w:type="dxa"/>
            <w:vAlign w:val="bottom"/>
            <w:tcBorders>
              <w:bottom w:val="single" w:sz="8" w:color="auto"/>
            </w:tcBorders>
            <w:shd w:val="clear" w:color="auto" w:fill="CCEEFF"/>
          </w:tcPr>
          <w:p>
            <w:pPr>
              <w:jc w:val="right"/>
              <w:ind w:right="360"/>
              <w:spacing w:after="0"/>
              <w:rPr>
                <w:sz w:val="20"/>
                <w:szCs w:val="20"/>
                <w:color w:val="auto"/>
              </w:rPr>
            </w:pPr>
            <w:r>
              <w:rPr>
                <w:rFonts w:ascii="Arial" w:cs="Arial" w:eastAsia="Arial" w:hAnsi="Arial"/>
                <w:sz w:val="12"/>
                <w:szCs w:val="12"/>
                <w:color w:val="auto"/>
              </w:rPr>
              <w:t>(496)</w:t>
            </w:r>
          </w:p>
        </w:tc>
        <w:tc>
          <w:tcPr>
            <w:tcW w:w="116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2"/>
                <w:szCs w:val="12"/>
                <w:color w:val="auto"/>
              </w:rPr>
              <w:t>(924)</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(1,020)</w:t>
            </w:r>
          </w:p>
        </w:tc>
      </w:tr>
      <w:tr>
        <w:trPr>
          <w:trHeight w:val="142"/>
        </w:trPr>
        <w:tc>
          <w:tcPr>
            <w:tcW w:w="4540" w:type="dxa"/>
            <w:vAlign w:val="bottom"/>
          </w:tcPr>
          <w:p>
            <w:pPr>
              <w:spacing w:after="0"/>
              <w:rPr>
                <w:sz w:val="20"/>
                <w:szCs w:val="20"/>
                <w:color w:val="auto"/>
              </w:rPr>
            </w:pPr>
            <w:r>
              <w:rPr>
                <w:rFonts w:ascii="Arial" w:cs="Arial" w:eastAsia="Arial" w:hAnsi="Arial"/>
                <w:sz w:val="12"/>
                <w:szCs w:val="12"/>
                <w:color w:val="auto"/>
              </w:rPr>
              <w:t>Loss attributable to Lee Enterprises, Incorporated</w:t>
            </w:r>
          </w:p>
        </w:tc>
        <w:tc>
          <w:tcPr>
            <w:tcW w:w="2780" w:type="dxa"/>
            <w:vAlign w:val="bottom"/>
          </w:tcPr>
          <w:p>
            <w:pPr>
              <w:jc w:val="right"/>
              <w:ind w:right="80"/>
              <w:spacing w:after="0"/>
              <w:rPr>
                <w:sz w:val="20"/>
                <w:szCs w:val="20"/>
                <w:color w:val="auto"/>
              </w:rPr>
            </w:pPr>
            <w:r>
              <w:rPr>
                <w:rFonts w:ascii="Arial" w:cs="Arial" w:eastAsia="Arial" w:hAnsi="Arial"/>
                <w:sz w:val="12"/>
                <w:szCs w:val="12"/>
                <w:color w:val="auto"/>
              </w:rPr>
              <w:t>(2,148)</w:t>
            </w:r>
          </w:p>
        </w:tc>
        <w:tc>
          <w:tcPr>
            <w:tcW w:w="1640" w:type="dxa"/>
            <w:vAlign w:val="bottom"/>
          </w:tcPr>
          <w:p>
            <w:pPr>
              <w:jc w:val="right"/>
              <w:ind w:right="360"/>
              <w:spacing w:after="0"/>
              <w:rPr>
                <w:sz w:val="20"/>
                <w:szCs w:val="20"/>
                <w:color w:val="auto"/>
              </w:rPr>
            </w:pPr>
            <w:r>
              <w:rPr>
                <w:rFonts w:ascii="Arial" w:cs="Arial" w:eastAsia="Arial" w:hAnsi="Arial"/>
                <w:sz w:val="12"/>
                <w:szCs w:val="12"/>
                <w:color w:val="auto"/>
              </w:rPr>
              <w:t>(12,511)</w:t>
            </w:r>
          </w:p>
        </w:tc>
        <w:tc>
          <w:tcPr>
            <w:tcW w:w="1160" w:type="dxa"/>
            <w:vAlign w:val="bottom"/>
          </w:tcPr>
          <w:p>
            <w:pPr>
              <w:jc w:val="right"/>
              <w:ind w:right="140"/>
              <w:spacing w:after="0"/>
              <w:rPr>
                <w:sz w:val="20"/>
                <w:szCs w:val="20"/>
                <w:color w:val="auto"/>
              </w:rPr>
            </w:pPr>
            <w:r>
              <w:rPr>
                <w:rFonts w:ascii="Arial" w:cs="Arial" w:eastAsia="Arial" w:hAnsi="Arial"/>
                <w:sz w:val="12"/>
                <w:szCs w:val="12"/>
                <w:color w:val="auto"/>
              </w:rPr>
              <w:t>(7,759)</w:t>
            </w:r>
          </w:p>
        </w:tc>
        <w:tc>
          <w:tcPr>
            <w:tcW w:w="1180" w:type="dxa"/>
            <w:vAlign w:val="bottom"/>
          </w:tcPr>
          <w:p>
            <w:pPr>
              <w:jc w:val="right"/>
              <w:spacing w:after="0"/>
              <w:rPr>
                <w:sz w:val="20"/>
                <w:szCs w:val="20"/>
                <w:color w:val="auto"/>
              </w:rPr>
            </w:pPr>
            <w:r>
              <w:rPr>
                <w:rFonts w:ascii="Arial" w:cs="Arial" w:eastAsia="Arial" w:hAnsi="Arial"/>
                <w:sz w:val="12"/>
                <w:szCs w:val="12"/>
                <w:color w:val="auto"/>
              </w:rPr>
              <w:t>(29,259)</w:t>
            </w:r>
          </w:p>
        </w:tc>
      </w:tr>
      <w:tr>
        <w:trPr>
          <w:trHeight w:val="153"/>
        </w:trPr>
        <w:tc>
          <w:tcPr>
            <w:tcW w:w="45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2"/>
                <w:szCs w:val="12"/>
                <w:color w:val="auto"/>
              </w:rPr>
              <w:t>Other comprehensive loss, net of income taxes</w:t>
            </w:r>
          </w:p>
        </w:tc>
        <w:tc>
          <w:tcPr>
            <w:tcW w:w="278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2"/>
                <w:szCs w:val="12"/>
                <w:color w:val="auto"/>
              </w:rPr>
              <w:t>(79)</w:t>
            </w:r>
          </w:p>
        </w:tc>
        <w:tc>
          <w:tcPr>
            <w:tcW w:w="1640" w:type="dxa"/>
            <w:vAlign w:val="bottom"/>
            <w:tcBorders>
              <w:bottom w:val="single" w:sz="8" w:color="auto"/>
            </w:tcBorders>
            <w:shd w:val="clear" w:color="auto" w:fill="CCEEFF"/>
          </w:tcPr>
          <w:p>
            <w:pPr>
              <w:jc w:val="right"/>
              <w:ind w:right="360"/>
              <w:spacing w:after="0"/>
              <w:rPr>
                <w:sz w:val="20"/>
                <w:szCs w:val="20"/>
                <w:color w:val="auto"/>
              </w:rPr>
            </w:pPr>
            <w:r>
              <w:rPr>
                <w:rFonts w:ascii="Arial" w:cs="Arial" w:eastAsia="Arial" w:hAnsi="Arial"/>
                <w:sz w:val="12"/>
                <w:szCs w:val="12"/>
                <w:color w:val="auto"/>
              </w:rPr>
              <w:t>(115)</w:t>
            </w:r>
          </w:p>
        </w:tc>
        <w:tc>
          <w:tcPr>
            <w:tcW w:w="116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2"/>
                <w:szCs w:val="12"/>
                <w:color w:val="auto"/>
              </w:rPr>
              <w:t>(158)</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(230)</w:t>
            </w:r>
          </w:p>
        </w:tc>
      </w:tr>
      <w:tr>
        <w:trPr>
          <w:trHeight w:val="158"/>
        </w:trPr>
        <w:tc>
          <w:tcPr>
            <w:tcW w:w="454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Comprehensive loss attributable to Lee Enterprises, Incorporated</w:t>
            </w:r>
          </w:p>
        </w:tc>
        <w:tc>
          <w:tcPr>
            <w:tcW w:w="278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color w:val="auto"/>
              </w:rPr>
              <w:t>(2,227)</w:t>
            </w:r>
          </w:p>
        </w:tc>
        <w:tc>
          <w:tcPr>
            <w:tcW w:w="1640" w:type="dxa"/>
            <w:vAlign w:val="bottom"/>
            <w:tcBorders>
              <w:bottom w:val="single" w:sz="8" w:color="auto"/>
            </w:tcBorders>
          </w:tcPr>
          <w:p>
            <w:pPr>
              <w:jc w:val="right"/>
              <w:ind w:right="360"/>
              <w:spacing w:after="0"/>
              <w:rPr>
                <w:sz w:val="20"/>
                <w:szCs w:val="20"/>
                <w:color w:val="auto"/>
              </w:rPr>
            </w:pPr>
            <w:r>
              <w:rPr>
                <w:rFonts w:ascii="Arial" w:cs="Arial" w:eastAsia="Arial" w:hAnsi="Arial"/>
                <w:sz w:val="12"/>
                <w:szCs w:val="12"/>
                <w:color w:val="auto"/>
              </w:rPr>
              <w:t>(12,626)</w:t>
            </w:r>
          </w:p>
        </w:tc>
        <w:tc>
          <w:tcPr>
            <w:tcW w:w="1160" w:type="dxa"/>
            <w:vAlign w:val="bottom"/>
            <w:tcBorders>
              <w:bottom w:val="single" w:sz="8" w:color="auto"/>
            </w:tcBorders>
          </w:tcPr>
          <w:p>
            <w:pPr>
              <w:jc w:val="right"/>
              <w:ind w:right="140"/>
              <w:spacing w:after="0"/>
              <w:rPr>
                <w:sz w:val="20"/>
                <w:szCs w:val="20"/>
                <w:color w:val="auto"/>
              </w:rPr>
            </w:pPr>
            <w:r>
              <w:rPr>
                <w:rFonts w:ascii="Arial" w:cs="Arial" w:eastAsia="Arial" w:hAnsi="Arial"/>
                <w:sz w:val="12"/>
                <w:szCs w:val="12"/>
                <w:color w:val="auto"/>
              </w:rPr>
              <w:t>(7,917)</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(29,489)</w:t>
            </w:r>
          </w:p>
        </w:tc>
      </w:tr>
      <w:tr>
        <w:trPr>
          <w:trHeight w:val="153"/>
        </w:trPr>
        <w:tc>
          <w:tcPr>
            <w:tcW w:w="4540" w:type="dxa"/>
            <w:vAlign w:val="bottom"/>
            <w:shd w:val="clear" w:color="auto" w:fill="CCEEFF"/>
          </w:tcPr>
          <w:p>
            <w:pPr>
              <w:spacing w:after="0"/>
              <w:rPr>
                <w:sz w:val="20"/>
                <w:szCs w:val="20"/>
                <w:color w:val="auto"/>
              </w:rPr>
            </w:pPr>
            <w:r>
              <w:rPr>
                <w:rFonts w:ascii="Arial" w:cs="Arial" w:eastAsia="Arial" w:hAnsi="Arial"/>
                <w:sz w:val="12"/>
                <w:szCs w:val="12"/>
                <w:color w:val="auto"/>
              </w:rPr>
              <w:t>Loss per common share:</w:t>
            </w:r>
          </w:p>
        </w:tc>
        <w:tc>
          <w:tcPr>
            <w:tcW w:w="2780" w:type="dxa"/>
            <w:vAlign w:val="bottom"/>
            <w:shd w:val="clear" w:color="auto" w:fill="CCEEFF"/>
          </w:tcPr>
          <w:p>
            <w:pPr>
              <w:spacing w:after="0"/>
              <w:rPr>
                <w:sz w:val="13"/>
                <w:szCs w:val="13"/>
                <w:color w:val="auto"/>
              </w:rPr>
            </w:pPr>
          </w:p>
        </w:tc>
        <w:tc>
          <w:tcPr>
            <w:tcW w:w="164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r>
      <w:tr>
        <w:trPr>
          <w:trHeight w:val="153"/>
        </w:trPr>
        <w:tc>
          <w:tcPr>
            <w:tcW w:w="4540" w:type="dxa"/>
            <w:vAlign w:val="bottom"/>
          </w:tcPr>
          <w:p>
            <w:pPr>
              <w:ind w:left="120"/>
              <w:spacing w:after="0"/>
              <w:rPr>
                <w:sz w:val="20"/>
                <w:szCs w:val="20"/>
                <w:color w:val="auto"/>
              </w:rPr>
            </w:pPr>
            <w:r>
              <w:rPr>
                <w:rFonts w:ascii="Arial" w:cs="Arial" w:eastAsia="Arial" w:hAnsi="Arial"/>
                <w:sz w:val="12"/>
                <w:szCs w:val="12"/>
                <w:color w:val="auto"/>
              </w:rPr>
              <w:t>Basic:</w:t>
            </w:r>
          </w:p>
        </w:tc>
        <w:tc>
          <w:tcPr>
            <w:tcW w:w="2780" w:type="dxa"/>
            <w:vAlign w:val="bottom"/>
          </w:tcPr>
          <w:p>
            <w:pPr>
              <w:jc w:val="right"/>
              <w:ind w:right="80"/>
              <w:spacing w:after="0"/>
              <w:rPr>
                <w:sz w:val="20"/>
                <w:szCs w:val="20"/>
                <w:color w:val="auto"/>
              </w:rPr>
            </w:pPr>
            <w:r>
              <w:rPr>
                <w:rFonts w:ascii="Arial" w:cs="Arial" w:eastAsia="Arial" w:hAnsi="Arial"/>
                <w:sz w:val="12"/>
                <w:szCs w:val="12"/>
                <w:color w:val="auto"/>
              </w:rPr>
              <w:t>(0.16)</w:t>
            </w:r>
          </w:p>
        </w:tc>
        <w:tc>
          <w:tcPr>
            <w:tcW w:w="1640" w:type="dxa"/>
            <w:vAlign w:val="bottom"/>
          </w:tcPr>
          <w:p>
            <w:pPr>
              <w:jc w:val="right"/>
              <w:ind w:right="360"/>
              <w:spacing w:after="0"/>
              <w:rPr>
                <w:sz w:val="20"/>
                <w:szCs w:val="20"/>
                <w:color w:val="auto"/>
              </w:rPr>
            </w:pPr>
            <w:r>
              <w:rPr>
                <w:rFonts w:ascii="Arial" w:cs="Arial" w:eastAsia="Arial" w:hAnsi="Arial"/>
                <w:sz w:val="12"/>
                <w:szCs w:val="12"/>
                <w:color w:val="auto"/>
              </w:rPr>
              <w:t>(2.07)</w:t>
            </w:r>
          </w:p>
        </w:tc>
        <w:tc>
          <w:tcPr>
            <w:tcW w:w="1160" w:type="dxa"/>
            <w:vAlign w:val="bottom"/>
          </w:tcPr>
          <w:p>
            <w:pPr>
              <w:jc w:val="right"/>
              <w:ind w:right="140"/>
              <w:spacing w:after="0"/>
              <w:rPr>
                <w:sz w:val="20"/>
                <w:szCs w:val="20"/>
                <w:color w:val="auto"/>
              </w:rPr>
            </w:pPr>
            <w:r>
              <w:rPr>
                <w:rFonts w:ascii="Arial" w:cs="Arial" w:eastAsia="Arial" w:hAnsi="Arial"/>
                <w:sz w:val="12"/>
                <w:szCs w:val="12"/>
                <w:color w:val="auto"/>
              </w:rPr>
              <w:t>(0.78)</w:t>
            </w:r>
          </w:p>
        </w:tc>
        <w:tc>
          <w:tcPr>
            <w:tcW w:w="1180" w:type="dxa"/>
            <w:vAlign w:val="bottom"/>
          </w:tcPr>
          <w:p>
            <w:pPr>
              <w:jc w:val="right"/>
              <w:spacing w:after="0"/>
              <w:rPr>
                <w:sz w:val="20"/>
                <w:szCs w:val="20"/>
                <w:color w:val="auto"/>
              </w:rPr>
            </w:pPr>
            <w:r>
              <w:rPr>
                <w:rFonts w:ascii="Arial" w:cs="Arial" w:eastAsia="Arial" w:hAnsi="Arial"/>
                <w:sz w:val="12"/>
                <w:szCs w:val="12"/>
                <w:color w:val="auto"/>
              </w:rPr>
              <w:t>(4.87)</w:t>
            </w:r>
          </w:p>
        </w:tc>
      </w:tr>
      <w:tr>
        <w:trPr>
          <w:trHeight w:val="169"/>
        </w:trPr>
        <w:tc>
          <w:tcPr>
            <w:tcW w:w="454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2"/>
                <w:szCs w:val="12"/>
                <w:color w:val="auto"/>
              </w:rPr>
              <w:t>Diluted:</w:t>
            </w:r>
          </w:p>
        </w:tc>
        <w:tc>
          <w:tcPr>
            <w:tcW w:w="278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2"/>
                <w:szCs w:val="12"/>
                <w:color w:val="auto"/>
              </w:rPr>
              <w:t>(0.16)</w:t>
            </w:r>
          </w:p>
        </w:tc>
        <w:tc>
          <w:tcPr>
            <w:tcW w:w="1640" w:type="dxa"/>
            <w:vAlign w:val="bottom"/>
            <w:tcBorders>
              <w:bottom w:val="single" w:sz="8" w:color="auto"/>
            </w:tcBorders>
            <w:shd w:val="clear" w:color="auto" w:fill="CCEEFF"/>
          </w:tcPr>
          <w:p>
            <w:pPr>
              <w:jc w:val="right"/>
              <w:ind w:right="360"/>
              <w:spacing w:after="0"/>
              <w:rPr>
                <w:sz w:val="20"/>
                <w:szCs w:val="20"/>
                <w:color w:val="auto"/>
              </w:rPr>
            </w:pPr>
            <w:r>
              <w:rPr>
                <w:rFonts w:ascii="Arial" w:cs="Arial" w:eastAsia="Arial" w:hAnsi="Arial"/>
                <w:sz w:val="12"/>
                <w:szCs w:val="12"/>
                <w:color w:val="auto"/>
              </w:rPr>
              <w:t>(2.07)</w:t>
            </w:r>
          </w:p>
        </w:tc>
        <w:tc>
          <w:tcPr>
            <w:tcW w:w="116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2"/>
                <w:szCs w:val="12"/>
                <w:color w:val="auto"/>
              </w:rPr>
              <w:t>(0.78)</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(4.87)</w:t>
            </w:r>
          </w:p>
        </w:tc>
      </w:tr>
      <w:tr>
        <w:trPr>
          <w:trHeight w:val="612"/>
        </w:trPr>
        <w:tc>
          <w:tcPr>
            <w:tcW w:w="4540" w:type="dxa"/>
            <w:vAlign w:val="bottom"/>
          </w:tcPr>
          <w:p>
            <w:pPr>
              <w:spacing w:after="0"/>
              <w:rPr>
                <w:sz w:val="24"/>
                <w:szCs w:val="24"/>
                <w:color w:val="auto"/>
              </w:rPr>
            </w:pPr>
          </w:p>
        </w:tc>
        <w:tc>
          <w:tcPr>
            <w:tcW w:w="2780" w:type="dxa"/>
            <w:vAlign w:val="bottom"/>
          </w:tcPr>
          <w:p>
            <w:pPr>
              <w:jc w:val="right"/>
              <w:ind w:right="1580"/>
              <w:spacing w:after="0"/>
              <w:rPr>
                <w:sz w:val="20"/>
                <w:szCs w:val="20"/>
                <w:color w:val="auto"/>
              </w:rPr>
            </w:pPr>
            <w:r>
              <w:rPr>
                <w:rFonts w:ascii="Times New Roman" w:cs="Times New Roman" w:eastAsia="Times New Roman" w:hAnsi="Times New Roman"/>
                <w:sz w:val="12"/>
                <w:szCs w:val="12"/>
                <w:color w:val="auto"/>
              </w:rPr>
              <w:t>4</w:t>
            </w:r>
          </w:p>
        </w:tc>
        <w:tc>
          <w:tcPr>
            <w:tcW w:w="16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80" w:type="dxa"/>
            <w:vAlign w:val="bottom"/>
          </w:tcPr>
          <w:p>
            <w:pPr>
              <w:spacing w:after="0"/>
              <w:rPr>
                <w:sz w:val="24"/>
                <w:szCs w:val="24"/>
                <w:color w:val="auto"/>
              </w:rPr>
            </w:pPr>
          </w:p>
        </w:tc>
      </w:tr>
    </w:tbl>
    <w:p>
      <w:pPr>
        <w:sectPr>
          <w:pgSz w:w="11900" w:h="16838" w:orient="portrait"/>
          <w:cols w:equalWidth="0" w:num="1">
            <w:col w:w="11300"/>
          </w:cols>
          <w:pgMar w:left="300" w:top="784" w:right="299" w:bottom="1440" w:gutter="0" w:footer="0" w:header="0"/>
        </w:sectPr>
      </w:pPr>
    </w:p>
    <w:bookmarkStart w:id="7" w:name="page8"/>
    <w:bookmarkEnd w:id="7"/>
    <w:p>
      <w:pPr>
        <w:spacing w:after="0"/>
        <w:rPr>
          <w:sz w:val="20"/>
          <w:szCs w:val="20"/>
          <w:color w:val="auto"/>
        </w:rPr>
      </w:pPr>
      <w:r>
        <w:rPr>
          <w:rFonts w:ascii="Arial" w:cs="Arial" w:eastAsia="Arial" w:hAnsi="Arial"/>
          <w:sz w:val="12"/>
          <w:szCs w:val="12"/>
          <w:b w:val="1"/>
          <w:bCs w:val="1"/>
          <w:color w:val="auto"/>
        </w:rPr>
        <w:t>DIGITAL / PRINT REVENUE COMPOSITION</w:t>
      </w:r>
    </w:p>
    <w:p>
      <w:pPr>
        <w:spacing w:after="0" w:line="18" w:lineRule="exact"/>
        <w:rPr>
          <w:sz w:val="20"/>
          <w:szCs w:val="20"/>
          <w:color w:val="auto"/>
        </w:rPr>
      </w:pPr>
    </w:p>
    <w:p>
      <w:pPr>
        <w:spacing w:after="0"/>
        <w:rPr>
          <w:sz w:val="20"/>
          <w:szCs w:val="20"/>
          <w:color w:val="auto"/>
        </w:rPr>
      </w:pPr>
      <w:r>
        <w:rPr>
          <w:rFonts w:ascii="Arial" w:cs="Arial" w:eastAsia="Arial" w:hAnsi="Arial"/>
          <w:sz w:val="12"/>
          <w:szCs w:val="12"/>
          <w:color w:val="auto"/>
        </w:rPr>
        <w:t>(UNAUDITED)</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240" w:type="dxa"/>
            <w:vAlign w:val="bottom"/>
            <w:tcBorders>
              <w:top w:val="single" w:sz="8" w:color="auto"/>
              <w:bottom w:val="single" w:sz="8" w:color="auto"/>
            </w:tcBorders>
          </w:tcPr>
          <w:p>
            <w:pPr>
              <w:spacing w:after="0"/>
              <w:rPr>
                <w:sz w:val="14"/>
                <w:szCs w:val="14"/>
                <w:color w:val="auto"/>
              </w:rPr>
            </w:pPr>
          </w:p>
        </w:tc>
        <w:tc>
          <w:tcPr>
            <w:tcW w:w="3640" w:type="dxa"/>
            <w:vAlign w:val="bottom"/>
            <w:tcBorders>
              <w:top w:val="single" w:sz="8" w:color="auto"/>
              <w:bottom w:val="single" w:sz="8" w:color="auto"/>
            </w:tcBorders>
          </w:tcPr>
          <w:p>
            <w:pPr>
              <w:jc w:val="right"/>
              <w:ind w:right="60"/>
              <w:spacing w:after="0"/>
              <w:rPr>
                <w:sz w:val="20"/>
                <w:szCs w:val="20"/>
                <w:color w:val="auto"/>
              </w:rPr>
            </w:pPr>
            <w:r>
              <w:rPr>
                <w:rFonts w:ascii="Arial" w:cs="Arial" w:eastAsia="Arial" w:hAnsi="Arial"/>
                <w:sz w:val="12"/>
                <w:szCs w:val="12"/>
                <w:color w:val="auto"/>
              </w:rPr>
              <w:t>Three months Ended</w:t>
            </w:r>
          </w:p>
        </w:tc>
        <w:tc>
          <w:tcPr>
            <w:tcW w:w="1080" w:type="dxa"/>
            <w:vAlign w:val="bottom"/>
            <w:tcBorders>
              <w:top w:val="single" w:sz="8" w:color="auto"/>
              <w:bottom w:val="single" w:sz="8" w:color="auto"/>
            </w:tcBorders>
          </w:tcPr>
          <w:p>
            <w:pPr>
              <w:spacing w:after="0"/>
              <w:rPr>
                <w:sz w:val="14"/>
                <w:szCs w:val="14"/>
                <w:color w:val="auto"/>
              </w:rPr>
            </w:pPr>
          </w:p>
        </w:tc>
        <w:tc>
          <w:tcPr>
            <w:tcW w:w="1620" w:type="dxa"/>
            <w:vAlign w:val="bottom"/>
            <w:tcBorders>
              <w:top w:val="single" w:sz="8" w:color="auto"/>
              <w:bottom w:val="single" w:sz="8" w:color="auto"/>
            </w:tcBorders>
          </w:tcPr>
          <w:p>
            <w:pPr>
              <w:jc w:val="right"/>
              <w:ind w:right="120"/>
              <w:spacing w:after="0"/>
              <w:rPr>
                <w:sz w:val="20"/>
                <w:szCs w:val="20"/>
                <w:color w:val="auto"/>
              </w:rPr>
            </w:pPr>
            <w:r>
              <w:rPr>
                <w:rFonts w:ascii="Arial" w:cs="Arial" w:eastAsia="Arial" w:hAnsi="Arial"/>
                <w:sz w:val="12"/>
                <w:szCs w:val="12"/>
                <w:color w:val="auto"/>
              </w:rPr>
              <w:t>Six months ended</w:t>
            </w:r>
          </w:p>
        </w:tc>
        <w:tc>
          <w:tcPr>
            <w:tcW w:w="720" w:type="dxa"/>
            <w:vAlign w:val="bottom"/>
            <w:tcBorders>
              <w:top w:val="single" w:sz="8" w:color="auto"/>
              <w:bottom w:val="single" w:sz="8" w:color="auto"/>
            </w:tcBorders>
          </w:tcPr>
          <w:p>
            <w:pPr>
              <w:spacing w:after="0"/>
              <w:rPr>
                <w:sz w:val="14"/>
                <w:szCs w:val="14"/>
                <w:color w:val="auto"/>
              </w:rPr>
            </w:pPr>
          </w:p>
        </w:tc>
      </w:tr>
      <w:tr>
        <w:trPr>
          <w:trHeight w:val="106"/>
        </w:trPr>
        <w:tc>
          <w:tcPr>
            <w:tcW w:w="4240" w:type="dxa"/>
            <w:vAlign w:val="bottom"/>
          </w:tcPr>
          <w:p>
            <w:pPr>
              <w:spacing w:after="0"/>
              <w:rPr>
                <w:sz w:val="9"/>
                <w:szCs w:val="9"/>
                <w:color w:val="auto"/>
              </w:rPr>
            </w:pPr>
          </w:p>
        </w:tc>
        <w:tc>
          <w:tcPr>
            <w:tcW w:w="3640" w:type="dxa"/>
            <w:vAlign w:val="bottom"/>
          </w:tcPr>
          <w:p>
            <w:pPr>
              <w:jc w:val="right"/>
              <w:ind w:right="640"/>
              <w:spacing w:after="0" w:line="106" w:lineRule="exact"/>
              <w:rPr>
                <w:sz w:val="20"/>
                <w:szCs w:val="20"/>
                <w:color w:val="auto"/>
              </w:rPr>
            </w:pPr>
            <w:r>
              <w:rPr>
                <w:rFonts w:ascii="Arial" w:cs="Arial" w:eastAsia="Arial" w:hAnsi="Arial"/>
                <w:sz w:val="12"/>
                <w:szCs w:val="12"/>
                <w:color w:val="auto"/>
              </w:rPr>
              <w:t>March 29,</w:t>
            </w:r>
          </w:p>
        </w:tc>
        <w:tc>
          <w:tcPr>
            <w:tcW w:w="1080" w:type="dxa"/>
            <w:vAlign w:val="bottom"/>
          </w:tcPr>
          <w:p>
            <w:pPr>
              <w:jc w:val="right"/>
              <w:ind w:right="360"/>
              <w:spacing w:after="0" w:line="106" w:lineRule="exact"/>
              <w:rPr>
                <w:sz w:val="20"/>
                <w:szCs w:val="20"/>
                <w:color w:val="auto"/>
              </w:rPr>
            </w:pPr>
            <w:r>
              <w:rPr>
                <w:rFonts w:ascii="Arial" w:cs="Arial" w:eastAsia="Arial" w:hAnsi="Arial"/>
                <w:sz w:val="12"/>
                <w:szCs w:val="12"/>
                <w:color w:val="auto"/>
              </w:rPr>
              <w:t>March 30,</w:t>
            </w:r>
          </w:p>
        </w:tc>
        <w:tc>
          <w:tcPr>
            <w:tcW w:w="1620" w:type="dxa"/>
            <w:vAlign w:val="bottom"/>
          </w:tcPr>
          <w:p>
            <w:pPr>
              <w:jc w:val="right"/>
              <w:ind w:right="600"/>
              <w:spacing w:after="0" w:line="106" w:lineRule="exact"/>
              <w:rPr>
                <w:sz w:val="20"/>
                <w:szCs w:val="20"/>
                <w:color w:val="auto"/>
              </w:rPr>
            </w:pPr>
            <w:r>
              <w:rPr>
                <w:rFonts w:ascii="Arial" w:cs="Arial" w:eastAsia="Arial" w:hAnsi="Arial"/>
                <w:sz w:val="12"/>
                <w:szCs w:val="12"/>
                <w:color w:val="auto"/>
              </w:rPr>
              <w:t>March 29,</w:t>
            </w:r>
          </w:p>
        </w:tc>
        <w:tc>
          <w:tcPr>
            <w:tcW w:w="720" w:type="dxa"/>
            <w:vAlign w:val="bottom"/>
          </w:tcPr>
          <w:p>
            <w:pPr>
              <w:jc w:val="right"/>
              <w:spacing w:after="0" w:line="106" w:lineRule="exact"/>
              <w:rPr>
                <w:sz w:val="20"/>
                <w:szCs w:val="20"/>
                <w:color w:val="auto"/>
              </w:rPr>
            </w:pPr>
            <w:r>
              <w:rPr>
                <w:rFonts w:ascii="Arial" w:cs="Arial" w:eastAsia="Arial" w:hAnsi="Arial"/>
                <w:sz w:val="12"/>
                <w:szCs w:val="12"/>
                <w:color w:val="auto"/>
              </w:rPr>
              <w:t>March 30,</w:t>
            </w:r>
          </w:p>
        </w:tc>
      </w:tr>
      <w:tr>
        <w:trPr>
          <w:trHeight w:val="162"/>
        </w:trPr>
        <w:tc>
          <w:tcPr>
            <w:tcW w:w="4240" w:type="dxa"/>
            <w:vAlign w:val="bottom"/>
            <w:tcBorders>
              <w:bottom w:val="single" w:sz="8" w:color="auto"/>
            </w:tcBorders>
          </w:tcPr>
          <w:p>
            <w:pPr>
              <w:spacing w:after="0"/>
              <w:rPr>
                <w:sz w:val="20"/>
                <w:szCs w:val="20"/>
                <w:color w:val="auto"/>
              </w:rPr>
            </w:pPr>
            <w:r>
              <w:rPr>
                <w:rFonts w:ascii="Arial" w:cs="Arial" w:eastAsia="Arial" w:hAnsi="Arial"/>
                <w:sz w:val="12"/>
                <w:szCs w:val="12"/>
                <w:i w:val="1"/>
                <w:iCs w:val="1"/>
                <w:color w:val="auto"/>
              </w:rPr>
              <w:t>(Thousands of Dollars)</w:t>
            </w:r>
          </w:p>
        </w:tc>
        <w:tc>
          <w:tcPr>
            <w:tcW w:w="3640" w:type="dxa"/>
            <w:vAlign w:val="bottom"/>
            <w:tcBorders>
              <w:bottom w:val="single" w:sz="8" w:color="auto"/>
            </w:tcBorders>
          </w:tcPr>
          <w:p>
            <w:pPr>
              <w:jc w:val="right"/>
              <w:ind w:right="640"/>
              <w:spacing w:after="0"/>
              <w:rPr>
                <w:sz w:val="20"/>
                <w:szCs w:val="20"/>
                <w:color w:val="auto"/>
              </w:rPr>
            </w:pPr>
            <w:r>
              <w:rPr>
                <w:rFonts w:ascii="Arial" w:cs="Arial" w:eastAsia="Arial" w:hAnsi="Arial"/>
                <w:sz w:val="12"/>
                <w:szCs w:val="12"/>
                <w:color w:val="auto"/>
              </w:rPr>
              <w:t>2026</w:t>
            </w:r>
          </w:p>
        </w:tc>
        <w:tc>
          <w:tcPr>
            <w:tcW w:w="1080" w:type="dxa"/>
            <w:vAlign w:val="bottom"/>
            <w:tcBorders>
              <w:bottom w:val="single" w:sz="8" w:color="auto"/>
            </w:tcBorders>
          </w:tcPr>
          <w:p>
            <w:pPr>
              <w:jc w:val="right"/>
              <w:ind w:right="360"/>
              <w:spacing w:after="0"/>
              <w:rPr>
                <w:sz w:val="20"/>
                <w:szCs w:val="20"/>
                <w:color w:val="auto"/>
              </w:rPr>
            </w:pPr>
            <w:r>
              <w:rPr>
                <w:rFonts w:ascii="Arial" w:cs="Arial" w:eastAsia="Arial" w:hAnsi="Arial"/>
                <w:sz w:val="12"/>
                <w:szCs w:val="12"/>
                <w:color w:val="auto"/>
              </w:rPr>
              <w:t>2025</w:t>
            </w:r>
          </w:p>
        </w:tc>
        <w:tc>
          <w:tcPr>
            <w:tcW w:w="1620" w:type="dxa"/>
            <w:vAlign w:val="bottom"/>
            <w:tcBorders>
              <w:bottom w:val="single" w:sz="8" w:color="auto"/>
            </w:tcBorders>
          </w:tcPr>
          <w:p>
            <w:pPr>
              <w:jc w:val="right"/>
              <w:ind w:right="600"/>
              <w:spacing w:after="0"/>
              <w:rPr>
                <w:sz w:val="20"/>
                <w:szCs w:val="20"/>
                <w:color w:val="auto"/>
              </w:rPr>
            </w:pPr>
            <w:r>
              <w:rPr>
                <w:rFonts w:ascii="Arial" w:cs="Arial" w:eastAsia="Arial" w:hAnsi="Arial"/>
                <w:sz w:val="12"/>
                <w:szCs w:val="12"/>
                <w:color w:val="auto"/>
              </w:rPr>
              <w:t>2026</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2025</w:t>
            </w:r>
          </w:p>
        </w:tc>
      </w:tr>
      <w:tr>
        <w:trPr>
          <w:trHeight w:val="160"/>
        </w:trPr>
        <w:tc>
          <w:tcPr>
            <w:tcW w:w="4240" w:type="dxa"/>
            <w:vAlign w:val="bottom"/>
          </w:tcPr>
          <w:p>
            <w:pPr>
              <w:spacing w:after="0"/>
              <w:rPr>
                <w:sz w:val="13"/>
                <w:szCs w:val="13"/>
                <w:color w:val="auto"/>
              </w:rPr>
            </w:pPr>
          </w:p>
        </w:tc>
        <w:tc>
          <w:tcPr>
            <w:tcW w:w="36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153"/>
        </w:trPr>
        <w:tc>
          <w:tcPr>
            <w:tcW w:w="4240" w:type="dxa"/>
            <w:vAlign w:val="bottom"/>
            <w:shd w:val="clear" w:color="auto" w:fill="CCEEFF"/>
          </w:tcPr>
          <w:p>
            <w:pPr>
              <w:ind w:left="120"/>
              <w:spacing w:after="0"/>
              <w:rPr>
                <w:sz w:val="20"/>
                <w:szCs w:val="20"/>
                <w:color w:val="auto"/>
              </w:rPr>
            </w:pPr>
            <w:r>
              <w:rPr>
                <w:rFonts w:ascii="Arial" w:cs="Arial" w:eastAsia="Arial" w:hAnsi="Arial"/>
                <w:sz w:val="12"/>
                <w:szCs w:val="12"/>
                <w:color w:val="auto"/>
              </w:rPr>
              <w:t>Digital Advertising and Marketing Services Revenue</w:t>
            </w:r>
          </w:p>
        </w:tc>
        <w:tc>
          <w:tcPr>
            <w:tcW w:w="3640" w:type="dxa"/>
            <w:vAlign w:val="bottom"/>
            <w:shd w:val="clear" w:color="auto" w:fill="CCEEFF"/>
          </w:tcPr>
          <w:p>
            <w:pPr>
              <w:jc w:val="right"/>
              <w:ind w:right="680"/>
              <w:spacing w:after="0"/>
              <w:rPr>
                <w:sz w:val="20"/>
                <w:szCs w:val="20"/>
                <w:color w:val="auto"/>
              </w:rPr>
            </w:pPr>
            <w:r>
              <w:rPr>
                <w:rFonts w:ascii="Arial" w:cs="Arial" w:eastAsia="Arial" w:hAnsi="Arial"/>
                <w:sz w:val="12"/>
                <w:szCs w:val="12"/>
                <w:color w:val="auto"/>
              </w:rPr>
              <w:t>40,693</w:t>
            </w:r>
          </w:p>
        </w:tc>
        <w:tc>
          <w:tcPr>
            <w:tcW w:w="1080" w:type="dxa"/>
            <w:vAlign w:val="bottom"/>
            <w:shd w:val="clear" w:color="auto" w:fill="CCEEFF"/>
          </w:tcPr>
          <w:p>
            <w:pPr>
              <w:jc w:val="right"/>
              <w:ind w:right="400"/>
              <w:spacing w:after="0"/>
              <w:rPr>
                <w:sz w:val="20"/>
                <w:szCs w:val="20"/>
                <w:color w:val="auto"/>
              </w:rPr>
            </w:pPr>
            <w:r>
              <w:rPr>
                <w:rFonts w:ascii="Arial" w:cs="Arial" w:eastAsia="Arial" w:hAnsi="Arial"/>
                <w:sz w:val="12"/>
                <w:szCs w:val="12"/>
                <w:color w:val="auto"/>
              </w:rPr>
              <w:t>43,941</w:t>
            </w:r>
          </w:p>
        </w:tc>
        <w:tc>
          <w:tcPr>
            <w:tcW w:w="1620" w:type="dxa"/>
            <w:vAlign w:val="bottom"/>
            <w:shd w:val="clear" w:color="auto" w:fill="CCEEFF"/>
          </w:tcPr>
          <w:p>
            <w:pPr>
              <w:jc w:val="right"/>
              <w:ind w:right="640"/>
              <w:spacing w:after="0"/>
              <w:rPr>
                <w:sz w:val="20"/>
                <w:szCs w:val="20"/>
                <w:color w:val="auto"/>
              </w:rPr>
            </w:pPr>
            <w:r>
              <w:rPr>
                <w:rFonts w:ascii="Arial" w:cs="Arial" w:eastAsia="Arial" w:hAnsi="Arial"/>
                <w:sz w:val="12"/>
                <w:szCs w:val="12"/>
                <w:color w:val="auto"/>
              </w:rPr>
              <w:t>83,488</w:t>
            </w: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90,670</w:t>
            </w:r>
          </w:p>
        </w:tc>
      </w:tr>
      <w:tr>
        <w:trPr>
          <w:trHeight w:val="153"/>
        </w:trPr>
        <w:tc>
          <w:tcPr>
            <w:tcW w:w="4240" w:type="dxa"/>
            <w:vAlign w:val="bottom"/>
          </w:tcPr>
          <w:p>
            <w:pPr>
              <w:ind w:left="120"/>
              <w:spacing w:after="0"/>
              <w:rPr>
                <w:sz w:val="20"/>
                <w:szCs w:val="20"/>
                <w:color w:val="auto"/>
              </w:rPr>
            </w:pPr>
            <w:r>
              <w:rPr>
                <w:rFonts w:ascii="Arial" w:cs="Arial" w:eastAsia="Arial" w:hAnsi="Arial"/>
                <w:sz w:val="12"/>
                <w:szCs w:val="12"/>
                <w:color w:val="auto"/>
              </w:rPr>
              <w:t>Digital Only Subscription Revenue</w:t>
            </w:r>
          </w:p>
        </w:tc>
        <w:tc>
          <w:tcPr>
            <w:tcW w:w="3640" w:type="dxa"/>
            <w:vAlign w:val="bottom"/>
          </w:tcPr>
          <w:p>
            <w:pPr>
              <w:jc w:val="right"/>
              <w:ind w:right="680"/>
              <w:spacing w:after="0"/>
              <w:rPr>
                <w:sz w:val="20"/>
                <w:szCs w:val="20"/>
                <w:color w:val="auto"/>
              </w:rPr>
            </w:pPr>
            <w:r>
              <w:rPr>
                <w:rFonts w:ascii="Arial" w:cs="Arial" w:eastAsia="Arial" w:hAnsi="Arial"/>
                <w:sz w:val="12"/>
                <w:szCs w:val="12"/>
                <w:color w:val="auto"/>
              </w:rPr>
              <w:t>22,279</w:t>
            </w:r>
          </w:p>
        </w:tc>
        <w:tc>
          <w:tcPr>
            <w:tcW w:w="1080" w:type="dxa"/>
            <w:vAlign w:val="bottom"/>
          </w:tcPr>
          <w:p>
            <w:pPr>
              <w:jc w:val="right"/>
              <w:ind w:right="400"/>
              <w:spacing w:after="0"/>
              <w:rPr>
                <w:sz w:val="20"/>
                <w:szCs w:val="20"/>
                <w:color w:val="auto"/>
              </w:rPr>
            </w:pPr>
            <w:r>
              <w:rPr>
                <w:rFonts w:ascii="Arial" w:cs="Arial" w:eastAsia="Arial" w:hAnsi="Arial"/>
                <w:sz w:val="12"/>
                <w:szCs w:val="12"/>
                <w:color w:val="auto"/>
              </w:rPr>
              <w:t>23,789</w:t>
            </w:r>
          </w:p>
        </w:tc>
        <w:tc>
          <w:tcPr>
            <w:tcW w:w="1620" w:type="dxa"/>
            <w:vAlign w:val="bottom"/>
          </w:tcPr>
          <w:p>
            <w:pPr>
              <w:jc w:val="right"/>
              <w:ind w:right="640"/>
              <w:spacing w:after="0"/>
              <w:rPr>
                <w:sz w:val="20"/>
                <w:szCs w:val="20"/>
                <w:color w:val="auto"/>
              </w:rPr>
            </w:pPr>
            <w:r>
              <w:rPr>
                <w:rFonts w:ascii="Arial" w:cs="Arial" w:eastAsia="Arial" w:hAnsi="Arial"/>
                <w:sz w:val="12"/>
                <w:szCs w:val="12"/>
                <w:color w:val="auto"/>
              </w:rPr>
              <w:t>44,985</w:t>
            </w:r>
          </w:p>
        </w:tc>
        <w:tc>
          <w:tcPr>
            <w:tcW w:w="720" w:type="dxa"/>
            <w:vAlign w:val="bottom"/>
          </w:tcPr>
          <w:p>
            <w:pPr>
              <w:jc w:val="right"/>
              <w:spacing w:after="0"/>
              <w:rPr>
                <w:sz w:val="20"/>
                <w:szCs w:val="20"/>
                <w:color w:val="auto"/>
              </w:rPr>
            </w:pPr>
            <w:r>
              <w:rPr>
                <w:rFonts w:ascii="Arial" w:cs="Arial" w:eastAsia="Arial" w:hAnsi="Arial"/>
                <w:sz w:val="12"/>
                <w:szCs w:val="12"/>
                <w:color w:val="auto"/>
              </w:rPr>
              <w:t>45,354</w:t>
            </w:r>
          </w:p>
        </w:tc>
      </w:tr>
      <w:tr>
        <w:trPr>
          <w:trHeight w:val="153"/>
        </w:trPr>
        <w:tc>
          <w:tcPr>
            <w:tcW w:w="424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2"/>
                <w:szCs w:val="12"/>
                <w:color w:val="auto"/>
              </w:rPr>
              <w:t>Digital Services Revenue</w:t>
            </w:r>
          </w:p>
        </w:tc>
        <w:tc>
          <w:tcPr>
            <w:tcW w:w="3640" w:type="dxa"/>
            <w:vAlign w:val="bottom"/>
            <w:tcBorders>
              <w:bottom w:val="single" w:sz="8" w:color="auto"/>
            </w:tcBorders>
            <w:shd w:val="clear" w:color="auto" w:fill="CCEEFF"/>
          </w:tcPr>
          <w:p>
            <w:pPr>
              <w:jc w:val="right"/>
              <w:ind w:right="680"/>
              <w:spacing w:after="0"/>
              <w:rPr>
                <w:sz w:val="20"/>
                <w:szCs w:val="20"/>
                <w:color w:val="auto"/>
              </w:rPr>
            </w:pPr>
            <w:r>
              <w:rPr>
                <w:rFonts w:ascii="Arial" w:cs="Arial" w:eastAsia="Arial" w:hAnsi="Arial"/>
                <w:sz w:val="12"/>
                <w:szCs w:val="12"/>
                <w:color w:val="auto"/>
              </w:rPr>
              <w:t>4,784</w:t>
            </w:r>
          </w:p>
        </w:tc>
        <w:tc>
          <w:tcPr>
            <w:tcW w:w="1080" w:type="dxa"/>
            <w:vAlign w:val="bottom"/>
            <w:tcBorders>
              <w:bottom w:val="single" w:sz="8" w:color="auto"/>
            </w:tcBorders>
            <w:shd w:val="clear" w:color="auto" w:fill="CCEEFF"/>
          </w:tcPr>
          <w:p>
            <w:pPr>
              <w:jc w:val="right"/>
              <w:ind w:right="400"/>
              <w:spacing w:after="0"/>
              <w:rPr>
                <w:sz w:val="20"/>
                <w:szCs w:val="20"/>
                <w:color w:val="auto"/>
              </w:rPr>
            </w:pPr>
            <w:r>
              <w:rPr>
                <w:rFonts w:ascii="Arial" w:cs="Arial" w:eastAsia="Arial" w:hAnsi="Arial"/>
                <w:sz w:val="12"/>
                <w:szCs w:val="12"/>
                <w:color w:val="auto"/>
              </w:rPr>
              <w:t>4,826</w:t>
            </w:r>
          </w:p>
        </w:tc>
        <w:tc>
          <w:tcPr>
            <w:tcW w:w="1620" w:type="dxa"/>
            <w:vAlign w:val="bottom"/>
            <w:tcBorders>
              <w:bottom w:val="single" w:sz="8" w:color="auto"/>
            </w:tcBorders>
            <w:shd w:val="clear" w:color="auto" w:fill="CCEEFF"/>
          </w:tcPr>
          <w:p>
            <w:pPr>
              <w:jc w:val="right"/>
              <w:ind w:right="640"/>
              <w:spacing w:after="0"/>
              <w:rPr>
                <w:sz w:val="20"/>
                <w:szCs w:val="20"/>
                <w:color w:val="auto"/>
              </w:rPr>
            </w:pPr>
            <w:r>
              <w:rPr>
                <w:rFonts w:ascii="Arial" w:cs="Arial" w:eastAsia="Arial" w:hAnsi="Arial"/>
                <w:sz w:val="12"/>
                <w:szCs w:val="12"/>
                <w:color w:val="auto"/>
              </w:rPr>
              <w:t>9,612</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9,913</w:t>
            </w:r>
          </w:p>
        </w:tc>
      </w:tr>
      <w:tr>
        <w:trPr>
          <w:trHeight w:val="142"/>
        </w:trPr>
        <w:tc>
          <w:tcPr>
            <w:tcW w:w="424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Total Digital Revenue</w:t>
            </w:r>
          </w:p>
        </w:tc>
        <w:tc>
          <w:tcPr>
            <w:tcW w:w="3640" w:type="dxa"/>
            <w:vAlign w:val="bottom"/>
            <w:tcBorders>
              <w:bottom w:val="single" w:sz="8" w:color="auto"/>
            </w:tcBorders>
          </w:tcPr>
          <w:p>
            <w:pPr>
              <w:jc w:val="right"/>
              <w:ind w:right="680"/>
              <w:spacing w:after="0"/>
              <w:rPr>
                <w:sz w:val="20"/>
                <w:szCs w:val="20"/>
                <w:color w:val="auto"/>
              </w:rPr>
            </w:pPr>
            <w:r>
              <w:rPr>
                <w:rFonts w:ascii="Arial" w:cs="Arial" w:eastAsia="Arial" w:hAnsi="Arial"/>
                <w:sz w:val="12"/>
                <w:szCs w:val="12"/>
                <w:color w:val="auto"/>
              </w:rPr>
              <w:t>67,756</w:t>
            </w:r>
          </w:p>
        </w:tc>
        <w:tc>
          <w:tcPr>
            <w:tcW w:w="1080" w:type="dxa"/>
            <w:vAlign w:val="bottom"/>
            <w:tcBorders>
              <w:bottom w:val="single" w:sz="8" w:color="auto"/>
            </w:tcBorders>
          </w:tcPr>
          <w:p>
            <w:pPr>
              <w:jc w:val="right"/>
              <w:ind w:right="400"/>
              <w:spacing w:after="0"/>
              <w:rPr>
                <w:sz w:val="20"/>
                <w:szCs w:val="20"/>
                <w:color w:val="auto"/>
              </w:rPr>
            </w:pPr>
            <w:r>
              <w:rPr>
                <w:rFonts w:ascii="Arial" w:cs="Arial" w:eastAsia="Arial" w:hAnsi="Arial"/>
                <w:sz w:val="12"/>
                <w:szCs w:val="12"/>
                <w:color w:val="auto"/>
              </w:rPr>
              <w:t>72,556</w:t>
            </w:r>
          </w:p>
        </w:tc>
        <w:tc>
          <w:tcPr>
            <w:tcW w:w="1620" w:type="dxa"/>
            <w:vAlign w:val="bottom"/>
            <w:tcBorders>
              <w:bottom w:val="single" w:sz="8" w:color="auto"/>
            </w:tcBorders>
          </w:tcPr>
          <w:p>
            <w:pPr>
              <w:jc w:val="right"/>
              <w:ind w:right="640"/>
              <w:spacing w:after="0"/>
              <w:rPr>
                <w:sz w:val="20"/>
                <w:szCs w:val="20"/>
                <w:color w:val="auto"/>
              </w:rPr>
            </w:pPr>
            <w:r>
              <w:rPr>
                <w:rFonts w:ascii="Arial" w:cs="Arial" w:eastAsia="Arial" w:hAnsi="Arial"/>
                <w:sz w:val="12"/>
                <w:szCs w:val="12"/>
                <w:color w:val="auto"/>
              </w:rPr>
              <w:t>138,085</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145,937</w:t>
            </w:r>
          </w:p>
        </w:tc>
      </w:tr>
      <w:tr>
        <w:trPr>
          <w:trHeight w:val="142"/>
        </w:trPr>
        <w:tc>
          <w:tcPr>
            <w:tcW w:w="4240" w:type="dxa"/>
            <w:vAlign w:val="bottom"/>
            <w:shd w:val="clear" w:color="auto" w:fill="CCEEFF"/>
          </w:tcPr>
          <w:p>
            <w:pPr>
              <w:ind w:left="120"/>
              <w:spacing w:after="0"/>
              <w:rPr>
                <w:sz w:val="20"/>
                <w:szCs w:val="20"/>
                <w:color w:val="auto"/>
              </w:rPr>
            </w:pPr>
            <w:r>
              <w:rPr>
                <w:rFonts w:ascii="Arial" w:cs="Arial" w:eastAsia="Arial" w:hAnsi="Arial"/>
                <w:sz w:val="12"/>
                <w:szCs w:val="12"/>
                <w:color w:val="auto"/>
              </w:rPr>
              <w:t>Print Advertising Revenue</w:t>
            </w:r>
          </w:p>
        </w:tc>
        <w:tc>
          <w:tcPr>
            <w:tcW w:w="3640" w:type="dxa"/>
            <w:vAlign w:val="bottom"/>
            <w:shd w:val="clear" w:color="auto" w:fill="CCEEFF"/>
          </w:tcPr>
          <w:p>
            <w:pPr>
              <w:jc w:val="right"/>
              <w:ind w:right="680"/>
              <w:spacing w:after="0"/>
              <w:rPr>
                <w:sz w:val="20"/>
                <w:szCs w:val="20"/>
                <w:color w:val="auto"/>
              </w:rPr>
            </w:pPr>
            <w:r>
              <w:rPr>
                <w:rFonts w:ascii="Arial" w:cs="Arial" w:eastAsia="Arial" w:hAnsi="Arial"/>
                <w:sz w:val="12"/>
                <w:szCs w:val="12"/>
                <w:color w:val="auto"/>
              </w:rPr>
              <w:t>14,274</w:t>
            </w:r>
          </w:p>
        </w:tc>
        <w:tc>
          <w:tcPr>
            <w:tcW w:w="1080" w:type="dxa"/>
            <w:vAlign w:val="bottom"/>
            <w:shd w:val="clear" w:color="auto" w:fill="CCEEFF"/>
          </w:tcPr>
          <w:p>
            <w:pPr>
              <w:jc w:val="right"/>
              <w:ind w:right="400"/>
              <w:spacing w:after="0"/>
              <w:rPr>
                <w:sz w:val="20"/>
                <w:szCs w:val="20"/>
                <w:color w:val="auto"/>
              </w:rPr>
            </w:pPr>
            <w:r>
              <w:rPr>
                <w:rFonts w:ascii="Arial" w:cs="Arial" w:eastAsia="Arial" w:hAnsi="Arial"/>
                <w:sz w:val="12"/>
                <w:szCs w:val="12"/>
                <w:color w:val="auto"/>
              </w:rPr>
              <w:t>16,532</w:t>
            </w:r>
          </w:p>
        </w:tc>
        <w:tc>
          <w:tcPr>
            <w:tcW w:w="1620" w:type="dxa"/>
            <w:vAlign w:val="bottom"/>
            <w:shd w:val="clear" w:color="auto" w:fill="CCEEFF"/>
          </w:tcPr>
          <w:p>
            <w:pPr>
              <w:jc w:val="right"/>
              <w:ind w:right="640"/>
              <w:spacing w:after="0"/>
              <w:rPr>
                <w:sz w:val="20"/>
                <w:szCs w:val="20"/>
                <w:color w:val="auto"/>
              </w:rPr>
            </w:pPr>
            <w:r>
              <w:rPr>
                <w:rFonts w:ascii="Arial" w:cs="Arial" w:eastAsia="Arial" w:hAnsi="Arial"/>
                <w:sz w:val="12"/>
                <w:szCs w:val="12"/>
                <w:color w:val="auto"/>
              </w:rPr>
              <w:t>31,465</w:t>
            </w: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36,393</w:t>
            </w:r>
          </w:p>
        </w:tc>
      </w:tr>
      <w:tr>
        <w:trPr>
          <w:trHeight w:val="153"/>
        </w:trPr>
        <w:tc>
          <w:tcPr>
            <w:tcW w:w="4240" w:type="dxa"/>
            <w:vAlign w:val="bottom"/>
          </w:tcPr>
          <w:p>
            <w:pPr>
              <w:ind w:left="120"/>
              <w:spacing w:after="0"/>
              <w:rPr>
                <w:sz w:val="20"/>
                <w:szCs w:val="20"/>
                <w:color w:val="auto"/>
              </w:rPr>
            </w:pPr>
            <w:r>
              <w:rPr>
                <w:rFonts w:ascii="Arial" w:cs="Arial" w:eastAsia="Arial" w:hAnsi="Arial"/>
                <w:sz w:val="12"/>
                <w:szCs w:val="12"/>
                <w:color w:val="auto"/>
              </w:rPr>
              <w:t>Print Subscription Revenue</w:t>
            </w:r>
          </w:p>
        </w:tc>
        <w:tc>
          <w:tcPr>
            <w:tcW w:w="3640" w:type="dxa"/>
            <w:vAlign w:val="bottom"/>
          </w:tcPr>
          <w:p>
            <w:pPr>
              <w:jc w:val="right"/>
              <w:ind w:right="680"/>
              <w:spacing w:after="0"/>
              <w:rPr>
                <w:sz w:val="20"/>
                <w:szCs w:val="20"/>
                <w:color w:val="auto"/>
              </w:rPr>
            </w:pPr>
            <w:r>
              <w:rPr>
                <w:rFonts w:ascii="Arial" w:cs="Arial" w:eastAsia="Arial" w:hAnsi="Arial"/>
                <w:sz w:val="12"/>
                <w:szCs w:val="12"/>
                <w:color w:val="auto"/>
              </w:rPr>
              <w:t>32,902</w:t>
            </w:r>
          </w:p>
        </w:tc>
        <w:tc>
          <w:tcPr>
            <w:tcW w:w="1080" w:type="dxa"/>
            <w:vAlign w:val="bottom"/>
          </w:tcPr>
          <w:p>
            <w:pPr>
              <w:jc w:val="right"/>
              <w:ind w:right="400"/>
              <w:spacing w:after="0"/>
              <w:rPr>
                <w:sz w:val="20"/>
                <w:szCs w:val="20"/>
                <w:color w:val="auto"/>
              </w:rPr>
            </w:pPr>
            <w:r>
              <w:rPr>
                <w:rFonts w:ascii="Arial" w:cs="Arial" w:eastAsia="Arial" w:hAnsi="Arial"/>
                <w:sz w:val="12"/>
                <w:szCs w:val="12"/>
                <w:color w:val="auto"/>
              </w:rPr>
              <w:t>41,079</w:t>
            </w:r>
          </w:p>
        </w:tc>
        <w:tc>
          <w:tcPr>
            <w:tcW w:w="1620" w:type="dxa"/>
            <w:vAlign w:val="bottom"/>
          </w:tcPr>
          <w:p>
            <w:pPr>
              <w:jc w:val="right"/>
              <w:ind w:right="640"/>
              <w:spacing w:after="0"/>
              <w:rPr>
                <w:sz w:val="20"/>
                <w:szCs w:val="20"/>
                <w:color w:val="auto"/>
              </w:rPr>
            </w:pPr>
            <w:r>
              <w:rPr>
                <w:rFonts w:ascii="Arial" w:cs="Arial" w:eastAsia="Arial" w:hAnsi="Arial"/>
                <w:sz w:val="12"/>
                <w:szCs w:val="12"/>
                <w:color w:val="auto"/>
              </w:rPr>
              <w:t>67,898</w:t>
            </w:r>
          </w:p>
        </w:tc>
        <w:tc>
          <w:tcPr>
            <w:tcW w:w="720" w:type="dxa"/>
            <w:vAlign w:val="bottom"/>
          </w:tcPr>
          <w:p>
            <w:pPr>
              <w:jc w:val="right"/>
              <w:spacing w:after="0"/>
              <w:rPr>
                <w:sz w:val="20"/>
                <w:szCs w:val="20"/>
                <w:color w:val="auto"/>
              </w:rPr>
            </w:pPr>
            <w:r>
              <w:rPr>
                <w:rFonts w:ascii="Arial" w:cs="Arial" w:eastAsia="Arial" w:hAnsi="Arial"/>
                <w:sz w:val="12"/>
                <w:szCs w:val="12"/>
                <w:color w:val="auto"/>
              </w:rPr>
              <w:t>84,511</w:t>
            </w:r>
          </w:p>
        </w:tc>
      </w:tr>
      <w:tr>
        <w:trPr>
          <w:trHeight w:val="153"/>
        </w:trPr>
        <w:tc>
          <w:tcPr>
            <w:tcW w:w="424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2"/>
                <w:szCs w:val="12"/>
                <w:color w:val="auto"/>
              </w:rPr>
              <w:t>Other Print Revenue</w:t>
            </w:r>
          </w:p>
        </w:tc>
        <w:tc>
          <w:tcPr>
            <w:tcW w:w="3640" w:type="dxa"/>
            <w:vAlign w:val="bottom"/>
            <w:tcBorders>
              <w:bottom w:val="single" w:sz="8" w:color="auto"/>
            </w:tcBorders>
            <w:shd w:val="clear" w:color="auto" w:fill="CCEEFF"/>
          </w:tcPr>
          <w:p>
            <w:pPr>
              <w:jc w:val="right"/>
              <w:ind w:right="680"/>
              <w:spacing w:after="0"/>
              <w:rPr>
                <w:sz w:val="20"/>
                <w:szCs w:val="20"/>
                <w:color w:val="auto"/>
              </w:rPr>
            </w:pPr>
            <w:r>
              <w:rPr>
                <w:rFonts w:ascii="Arial" w:cs="Arial" w:eastAsia="Arial" w:hAnsi="Arial"/>
                <w:sz w:val="12"/>
                <w:szCs w:val="12"/>
                <w:color w:val="auto"/>
              </w:rPr>
              <w:t>7,032</w:t>
            </w:r>
          </w:p>
        </w:tc>
        <w:tc>
          <w:tcPr>
            <w:tcW w:w="1080" w:type="dxa"/>
            <w:vAlign w:val="bottom"/>
            <w:tcBorders>
              <w:bottom w:val="single" w:sz="8" w:color="auto"/>
            </w:tcBorders>
            <w:shd w:val="clear" w:color="auto" w:fill="CCEEFF"/>
          </w:tcPr>
          <w:p>
            <w:pPr>
              <w:jc w:val="right"/>
              <w:ind w:right="400"/>
              <w:spacing w:after="0"/>
              <w:rPr>
                <w:sz w:val="20"/>
                <w:szCs w:val="20"/>
                <w:color w:val="auto"/>
              </w:rPr>
            </w:pPr>
            <w:r>
              <w:rPr>
                <w:rFonts w:ascii="Arial" w:cs="Arial" w:eastAsia="Arial" w:hAnsi="Arial"/>
                <w:sz w:val="12"/>
                <w:szCs w:val="12"/>
                <w:color w:val="auto"/>
              </w:rPr>
              <w:t>7,213</w:t>
            </w:r>
          </w:p>
        </w:tc>
        <w:tc>
          <w:tcPr>
            <w:tcW w:w="1620" w:type="dxa"/>
            <w:vAlign w:val="bottom"/>
            <w:tcBorders>
              <w:bottom w:val="single" w:sz="8" w:color="auto"/>
            </w:tcBorders>
            <w:shd w:val="clear" w:color="auto" w:fill="CCEEFF"/>
          </w:tcPr>
          <w:p>
            <w:pPr>
              <w:jc w:val="right"/>
              <w:ind w:right="640"/>
              <w:spacing w:after="0"/>
              <w:rPr>
                <w:sz w:val="20"/>
                <w:szCs w:val="20"/>
                <w:color w:val="auto"/>
              </w:rPr>
            </w:pPr>
            <w:r>
              <w:rPr>
                <w:rFonts w:ascii="Arial" w:cs="Arial" w:eastAsia="Arial" w:hAnsi="Arial"/>
                <w:sz w:val="12"/>
                <w:szCs w:val="12"/>
                <w:color w:val="auto"/>
              </w:rPr>
              <w:t>14,578</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15,101</w:t>
            </w:r>
          </w:p>
        </w:tc>
      </w:tr>
      <w:tr>
        <w:trPr>
          <w:trHeight w:val="142"/>
        </w:trPr>
        <w:tc>
          <w:tcPr>
            <w:tcW w:w="424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Total Print Revenue</w:t>
            </w:r>
          </w:p>
        </w:tc>
        <w:tc>
          <w:tcPr>
            <w:tcW w:w="3640" w:type="dxa"/>
            <w:vAlign w:val="bottom"/>
            <w:tcBorders>
              <w:bottom w:val="single" w:sz="8" w:color="auto"/>
            </w:tcBorders>
          </w:tcPr>
          <w:p>
            <w:pPr>
              <w:jc w:val="right"/>
              <w:ind w:right="680"/>
              <w:spacing w:after="0"/>
              <w:rPr>
                <w:sz w:val="20"/>
                <w:szCs w:val="20"/>
                <w:color w:val="auto"/>
              </w:rPr>
            </w:pPr>
            <w:r>
              <w:rPr>
                <w:rFonts w:ascii="Arial" w:cs="Arial" w:eastAsia="Arial" w:hAnsi="Arial"/>
                <w:sz w:val="12"/>
                <w:szCs w:val="12"/>
                <w:color w:val="auto"/>
              </w:rPr>
              <w:t>54,208</w:t>
            </w:r>
          </w:p>
        </w:tc>
        <w:tc>
          <w:tcPr>
            <w:tcW w:w="1080" w:type="dxa"/>
            <w:vAlign w:val="bottom"/>
            <w:tcBorders>
              <w:bottom w:val="single" w:sz="8" w:color="auto"/>
            </w:tcBorders>
          </w:tcPr>
          <w:p>
            <w:pPr>
              <w:jc w:val="right"/>
              <w:ind w:right="400"/>
              <w:spacing w:after="0"/>
              <w:rPr>
                <w:sz w:val="20"/>
                <w:szCs w:val="20"/>
                <w:color w:val="auto"/>
              </w:rPr>
            </w:pPr>
            <w:r>
              <w:rPr>
                <w:rFonts w:ascii="Arial" w:cs="Arial" w:eastAsia="Arial" w:hAnsi="Arial"/>
                <w:sz w:val="12"/>
                <w:szCs w:val="12"/>
                <w:color w:val="auto"/>
              </w:rPr>
              <w:t>64,824</w:t>
            </w:r>
          </w:p>
        </w:tc>
        <w:tc>
          <w:tcPr>
            <w:tcW w:w="1620" w:type="dxa"/>
            <w:vAlign w:val="bottom"/>
            <w:tcBorders>
              <w:bottom w:val="single" w:sz="8" w:color="auto"/>
            </w:tcBorders>
          </w:tcPr>
          <w:p>
            <w:pPr>
              <w:jc w:val="right"/>
              <w:ind w:right="640"/>
              <w:spacing w:after="0"/>
              <w:rPr>
                <w:sz w:val="20"/>
                <w:szCs w:val="20"/>
                <w:color w:val="auto"/>
              </w:rPr>
            </w:pPr>
            <w:r>
              <w:rPr>
                <w:rFonts w:ascii="Arial" w:cs="Arial" w:eastAsia="Arial" w:hAnsi="Arial"/>
                <w:sz w:val="12"/>
                <w:szCs w:val="12"/>
                <w:color w:val="auto"/>
              </w:rPr>
              <w:t>113,941</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136,005</w:t>
            </w:r>
          </w:p>
        </w:tc>
      </w:tr>
      <w:tr>
        <w:trPr>
          <w:trHeight w:val="158"/>
        </w:trPr>
        <w:tc>
          <w:tcPr>
            <w:tcW w:w="42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2"/>
                <w:szCs w:val="12"/>
                <w:color w:val="auto"/>
              </w:rPr>
              <w:t>Total Operating Revenue</w:t>
            </w:r>
          </w:p>
        </w:tc>
        <w:tc>
          <w:tcPr>
            <w:tcW w:w="3640" w:type="dxa"/>
            <w:vAlign w:val="bottom"/>
            <w:tcBorders>
              <w:bottom w:val="single" w:sz="8" w:color="auto"/>
            </w:tcBorders>
            <w:shd w:val="clear" w:color="auto" w:fill="CCEEFF"/>
          </w:tcPr>
          <w:p>
            <w:pPr>
              <w:jc w:val="right"/>
              <w:ind w:right="680"/>
              <w:spacing w:after="0"/>
              <w:rPr>
                <w:sz w:val="20"/>
                <w:szCs w:val="20"/>
                <w:color w:val="auto"/>
              </w:rPr>
            </w:pPr>
            <w:r>
              <w:rPr>
                <w:rFonts w:ascii="Arial" w:cs="Arial" w:eastAsia="Arial" w:hAnsi="Arial"/>
                <w:sz w:val="12"/>
                <w:szCs w:val="12"/>
                <w:color w:val="auto"/>
              </w:rPr>
              <w:t>121,964</w:t>
            </w:r>
          </w:p>
        </w:tc>
        <w:tc>
          <w:tcPr>
            <w:tcW w:w="1080" w:type="dxa"/>
            <w:vAlign w:val="bottom"/>
            <w:tcBorders>
              <w:bottom w:val="single" w:sz="8" w:color="auto"/>
            </w:tcBorders>
            <w:shd w:val="clear" w:color="auto" w:fill="CCEEFF"/>
          </w:tcPr>
          <w:p>
            <w:pPr>
              <w:jc w:val="right"/>
              <w:ind w:right="400"/>
              <w:spacing w:after="0"/>
              <w:rPr>
                <w:sz w:val="20"/>
                <w:szCs w:val="20"/>
                <w:color w:val="auto"/>
              </w:rPr>
            </w:pPr>
            <w:r>
              <w:rPr>
                <w:rFonts w:ascii="Arial" w:cs="Arial" w:eastAsia="Arial" w:hAnsi="Arial"/>
                <w:sz w:val="12"/>
                <w:szCs w:val="12"/>
                <w:color w:val="auto"/>
              </w:rPr>
              <w:t>137,380</w:t>
            </w:r>
          </w:p>
        </w:tc>
        <w:tc>
          <w:tcPr>
            <w:tcW w:w="1620" w:type="dxa"/>
            <w:vAlign w:val="bottom"/>
            <w:tcBorders>
              <w:bottom w:val="single" w:sz="8" w:color="auto"/>
            </w:tcBorders>
            <w:shd w:val="clear" w:color="auto" w:fill="CCEEFF"/>
          </w:tcPr>
          <w:p>
            <w:pPr>
              <w:jc w:val="right"/>
              <w:ind w:right="640"/>
              <w:spacing w:after="0"/>
              <w:rPr>
                <w:sz w:val="20"/>
                <w:szCs w:val="20"/>
                <w:color w:val="auto"/>
              </w:rPr>
            </w:pPr>
            <w:r>
              <w:rPr>
                <w:rFonts w:ascii="Arial" w:cs="Arial" w:eastAsia="Arial" w:hAnsi="Arial"/>
                <w:sz w:val="12"/>
                <w:szCs w:val="12"/>
                <w:color w:val="auto"/>
              </w:rPr>
              <w:t>252,026</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281,942</w:t>
            </w:r>
          </w:p>
        </w:tc>
      </w:tr>
      <w:tr>
        <w:trPr>
          <w:trHeight w:val="603"/>
        </w:trPr>
        <w:tc>
          <w:tcPr>
            <w:tcW w:w="4240" w:type="dxa"/>
            <w:vAlign w:val="bottom"/>
          </w:tcPr>
          <w:p>
            <w:pPr>
              <w:spacing w:after="0"/>
              <w:rPr>
                <w:sz w:val="24"/>
                <w:szCs w:val="24"/>
                <w:color w:val="auto"/>
              </w:rPr>
            </w:pPr>
          </w:p>
        </w:tc>
        <w:tc>
          <w:tcPr>
            <w:tcW w:w="3640" w:type="dxa"/>
            <w:vAlign w:val="bottom"/>
          </w:tcPr>
          <w:p>
            <w:pPr>
              <w:jc w:val="right"/>
              <w:ind w:right="2140"/>
              <w:spacing w:after="0"/>
              <w:rPr>
                <w:sz w:val="20"/>
                <w:szCs w:val="20"/>
                <w:color w:val="auto"/>
              </w:rPr>
            </w:pPr>
            <w:r>
              <w:rPr>
                <w:rFonts w:ascii="Times New Roman" w:cs="Times New Roman" w:eastAsia="Times New Roman" w:hAnsi="Times New Roman"/>
                <w:sz w:val="12"/>
                <w:szCs w:val="12"/>
                <w:color w:val="auto"/>
              </w:rPr>
              <w:t>5</w:t>
            </w:r>
          </w:p>
        </w:tc>
        <w:tc>
          <w:tcPr>
            <w:tcW w:w="10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720" w:type="dxa"/>
            <w:vAlign w:val="bottom"/>
          </w:tcPr>
          <w:p>
            <w:pPr>
              <w:spacing w:after="0"/>
              <w:rPr>
                <w:sz w:val="24"/>
                <w:szCs w:val="24"/>
                <w:color w:val="auto"/>
              </w:rPr>
            </w:pPr>
          </w:p>
        </w:tc>
      </w:tr>
    </w:tbl>
    <w:p>
      <w:pPr>
        <w:sectPr>
          <w:pgSz w:w="11900" w:h="16838" w:orient="portrait"/>
          <w:cols w:equalWidth="0" w:num="1">
            <w:col w:w="11300"/>
          </w:cols>
          <w:pgMar w:left="300" w:top="784" w:right="299" w:bottom="1440" w:gutter="0" w:footer="0" w:header="0"/>
        </w:sectPr>
      </w:pPr>
    </w:p>
    <w:bookmarkStart w:id="8" w:name="page9"/>
    <w:bookmarkEnd w:id="8"/>
    <w:p>
      <w:pPr>
        <w:spacing w:after="0"/>
        <w:rPr>
          <w:sz w:val="20"/>
          <w:szCs w:val="20"/>
          <w:color w:val="auto"/>
        </w:rPr>
      </w:pPr>
      <w:r>
        <w:rPr>
          <w:rFonts w:ascii="Arial" w:cs="Arial" w:eastAsia="Arial" w:hAnsi="Arial"/>
          <w:sz w:val="12"/>
          <w:szCs w:val="12"/>
          <w:b w:val="1"/>
          <w:bCs w:val="1"/>
          <w:color w:val="auto"/>
        </w:rPr>
        <w:t>RECONCILIATION OF NON-GAAP FINANCIAL MEASURES</w:t>
      </w:r>
    </w:p>
    <w:p>
      <w:pPr>
        <w:spacing w:after="0" w:line="18" w:lineRule="exact"/>
        <w:rPr>
          <w:sz w:val="20"/>
          <w:szCs w:val="20"/>
          <w:color w:val="auto"/>
        </w:rPr>
      </w:pPr>
    </w:p>
    <w:p>
      <w:pPr>
        <w:spacing w:after="0"/>
        <w:rPr>
          <w:sz w:val="20"/>
          <w:szCs w:val="20"/>
          <w:color w:val="auto"/>
        </w:rPr>
      </w:pPr>
      <w:r>
        <w:rPr>
          <w:rFonts w:ascii="Arial" w:cs="Arial" w:eastAsia="Arial" w:hAnsi="Arial"/>
          <w:sz w:val="12"/>
          <w:szCs w:val="12"/>
          <w:color w:val="auto"/>
        </w:rPr>
        <w:t>(UNAUDITED)</w:t>
      </w:r>
    </w:p>
    <w:p>
      <w:pPr>
        <w:spacing w:after="0" w:line="120" w:lineRule="exact"/>
        <w:rPr>
          <w:sz w:val="20"/>
          <w:szCs w:val="20"/>
          <w:color w:val="auto"/>
        </w:rPr>
      </w:pPr>
    </w:p>
    <w:p>
      <w:pPr>
        <w:spacing w:after="0"/>
        <w:rPr>
          <w:sz w:val="20"/>
          <w:szCs w:val="20"/>
          <w:color w:val="auto"/>
        </w:rPr>
      </w:pPr>
      <w:r>
        <w:rPr>
          <w:rFonts w:ascii="Arial" w:cs="Arial" w:eastAsia="Arial" w:hAnsi="Arial"/>
          <w:sz w:val="12"/>
          <w:szCs w:val="12"/>
          <w:color w:val="auto"/>
        </w:rPr>
        <w:t>The tables below reconcile the non-GAAP financial performance measure of Adjusted EBITDA to Net loss, its most directly comparable U.S. GAAP measure:</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640" w:type="dxa"/>
            <w:vAlign w:val="bottom"/>
            <w:tcBorders>
              <w:top w:val="single" w:sz="8" w:color="auto"/>
              <w:bottom w:val="single" w:sz="8" w:color="auto"/>
            </w:tcBorders>
          </w:tcPr>
          <w:p>
            <w:pPr>
              <w:spacing w:after="0"/>
              <w:rPr>
                <w:sz w:val="14"/>
                <w:szCs w:val="14"/>
                <w:color w:val="auto"/>
              </w:rPr>
            </w:pPr>
          </w:p>
        </w:tc>
        <w:tc>
          <w:tcPr>
            <w:tcW w:w="4180" w:type="dxa"/>
            <w:vAlign w:val="bottom"/>
            <w:tcBorders>
              <w:top w:val="single" w:sz="8" w:color="auto"/>
              <w:bottom w:val="single" w:sz="8" w:color="auto"/>
            </w:tcBorders>
            <w:gridSpan w:val="2"/>
          </w:tcPr>
          <w:p>
            <w:pPr>
              <w:jc w:val="right"/>
              <w:ind w:right="1020"/>
              <w:spacing w:after="0"/>
              <w:rPr>
                <w:sz w:val="20"/>
                <w:szCs w:val="20"/>
                <w:color w:val="auto"/>
              </w:rPr>
            </w:pPr>
            <w:r>
              <w:rPr>
                <w:rFonts w:ascii="Arial" w:cs="Arial" w:eastAsia="Arial" w:hAnsi="Arial"/>
                <w:sz w:val="12"/>
                <w:szCs w:val="12"/>
                <w:color w:val="auto"/>
              </w:rPr>
              <w:t>Three months ended</w:t>
            </w: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Six months ended</w:t>
            </w:r>
          </w:p>
        </w:tc>
        <w:tc>
          <w:tcPr>
            <w:tcW w:w="880" w:type="dxa"/>
            <w:vAlign w:val="bottom"/>
            <w:tcBorders>
              <w:top w:val="single" w:sz="8" w:color="auto"/>
              <w:bottom w:val="single" w:sz="8" w:color="auto"/>
            </w:tcBorders>
          </w:tcPr>
          <w:p>
            <w:pPr>
              <w:spacing w:after="0"/>
              <w:rPr>
                <w:sz w:val="14"/>
                <w:szCs w:val="14"/>
                <w:color w:val="auto"/>
              </w:rPr>
            </w:pPr>
          </w:p>
        </w:tc>
      </w:tr>
      <w:tr>
        <w:trPr>
          <w:trHeight w:val="142"/>
        </w:trPr>
        <w:tc>
          <w:tcPr>
            <w:tcW w:w="4640" w:type="dxa"/>
            <w:vAlign w:val="bottom"/>
            <w:tcBorders>
              <w:bottom w:val="single" w:sz="8" w:color="auto"/>
            </w:tcBorders>
          </w:tcPr>
          <w:p>
            <w:pPr>
              <w:spacing w:after="0"/>
              <w:rPr>
                <w:sz w:val="20"/>
                <w:szCs w:val="20"/>
                <w:color w:val="auto"/>
              </w:rPr>
            </w:pPr>
            <w:r>
              <w:rPr>
                <w:rFonts w:ascii="Arial" w:cs="Arial" w:eastAsia="Arial" w:hAnsi="Arial"/>
                <w:sz w:val="11"/>
                <w:szCs w:val="11"/>
                <w:i w:val="1"/>
                <w:iCs w:val="1"/>
                <w:color w:val="auto"/>
              </w:rPr>
              <w:t>(Thousands of Dollars)</w:t>
            </w:r>
          </w:p>
        </w:tc>
        <w:tc>
          <w:tcPr>
            <w:tcW w:w="2800" w:type="dxa"/>
            <w:vAlign w:val="bottom"/>
            <w:tcBorders>
              <w:bottom w:val="single" w:sz="8" w:color="auto"/>
            </w:tcBorders>
          </w:tcPr>
          <w:p>
            <w:pPr>
              <w:jc w:val="right"/>
              <w:ind w:right="200"/>
              <w:spacing w:after="0"/>
              <w:rPr>
                <w:sz w:val="20"/>
                <w:szCs w:val="20"/>
                <w:color w:val="auto"/>
              </w:rPr>
            </w:pPr>
            <w:r>
              <w:rPr>
                <w:rFonts w:ascii="Arial" w:cs="Arial" w:eastAsia="Arial" w:hAnsi="Arial"/>
                <w:sz w:val="12"/>
                <w:szCs w:val="12"/>
                <w:color w:val="auto"/>
              </w:rPr>
              <w:t>March 29, 2026</w:t>
            </w:r>
          </w:p>
        </w:tc>
        <w:tc>
          <w:tcPr>
            <w:tcW w:w="1380" w:type="dxa"/>
            <w:vAlign w:val="bottom"/>
            <w:tcBorders>
              <w:bottom w:val="single" w:sz="8" w:color="auto"/>
            </w:tcBorders>
          </w:tcPr>
          <w:p>
            <w:pPr>
              <w:jc w:val="right"/>
              <w:ind w:right="220"/>
              <w:spacing w:after="0"/>
              <w:rPr>
                <w:sz w:val="20"/>
                <w:szCs w:val="20"/>
                <w:color w:val="auto"/>
              </w:rPr>
            </w:pPr>
            <w:r>
              <w:rPr>
                <w:rFonts w:ascii="Arial" w:cs="Arial" w:eastAsia="Arial" w:hAnsi="Arial"/>
                <w:sz w:val="12"/>
                <w:szCs w:val="12"/>
                <w:color w:val="auto"/>
              </w:rPr>
              <w:t>March 30, 2025</w:t>
            </w:r>
          </w:p>
        </w:tc>
        <w:tc>
          <w:tcPr>
            <w:tcW w:w="1600" w:type="dxa"/>
            <w:vAlign w:val="bottom"/>
            <w:tcBorders>
              <w:bottom w:val="single" w:sz="8" w:color="auto"/>
            </w:tcBorders>
          </w:tcPr>
          <w:p>
            <w:pPr>
              <w:jc w:val="right"/>
              <w:ind w:right="440"/>
              <w:spacing w:after="0"/>
              <w:rPr>
                <w:sz w:val="20"/>
                <w:szCs w:val="20"/>
                <w:color w:val="auto"/>
              </w:rPr>
            </w:pPr>
            <w:r>
              <w:rPr>
                <w:rFonts w:ascii="Arial" w:cs="Arial" w:eastAsia="Arial" w:hAnsi="Arial"/>
                <w:sz w:val="12"/>
                <w:szCs w:val="12"/>
                <w:color w:val="auto"/>
              </w:rPr>
              <w:t>March 29, 2026</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March 30, 2025</w:t>
            </w:r>
          </w:p>
        </w:tc>
      </w:tr>
      <w:tr>
        <w:trPr>
          <w:trHeight w:val="160"/>
        </w:trPr>
        <w:tc>
          <w:tcPr>
            <w:tcW w:w="4640" w:type="dxa"/>
            <w:vAlign w:val="bottom"/>
          </w:tcPr>
          <w:p>
            <w:pPr>
              <w:spacing w:after="0"/>
              <w:rPr>
                <w:sz w:val="13"/>
                <w:szCs w:val="13"/>
                <w:color w:val="auto"/>
              </w:rPr>
            </w:pPr>
          </w:p>
        </w:tc>
        <w:tc>
          <w:tcPr>
            <w:tcW w:w="28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880" w:type="dxa"/>
            <w:vAlign w:val="bottom"/>
          </w:tcPr>
          <w:p>
            <w:pPr>
              <w:spacing w:after="0"/>
              <w:rPr>
                <w:sz w:val="13"/>
                <w:szCs w:val="13"/>
                <w:color w:val="auto"/>
              </w:rPr>
            </w:pPr>
          </w:p>
        </w:tc>
      </w:tr>
      <w:tr>
        <w:trPr>
          <w:trHeight w:val="153"/>
        </w:trPr>
        <w:tc>
          <w:tcPr>
            <w:tcW w:w="4640" w:type="dxa"/>
            <w:vAlign w:val="bottom"/>
            <w:shd w:val="clear" w:color="auto" w:fill="CCEEFF"/>
          </w:tcPr>
          <w:p>
            <w:pPr>
              <w:spacing w:after="0"/>
              <w:rPr>
                <w:sz w:val="20"/>
                <w:szCs w:val="20"/>
                <w:color w:val="auto"/>
              </w:rPr>
            </w:pPr>
            <w:r>
              <w:rPr>
                <w:rFonts w:ascii="Arial" w:cs="Arial" w:eastAsia="Arial" w:hAnsi="Arial"/>
                <w:sz w:val="12"/>
                <w:szCs w:val="12"/>
                <w:color w:val="auto"/>
              </w:rPr>
              <w:t>Net loss</w:t>
            </w:r>
          </w:p>
        </w:tc>
        <w:tc>
          <w:tcPr>
            <w:tcW w:w="2800" w:type="dxa"/>
            <w:vAlign w:val="bottom"/>
            <w:shd w:val="clear" w:color="auto" w:fill="CCEEFF"/>
          </w:tcPr>
          <w:p>
            <w:pPr>
              <w:jc w:val="right"/>
              <w:ind w:right="200"/>
              <w:spacing w:after="0"/>
              <w:rPr>
                <w:sz w:val="20"/>
                <w:szCs w:val="20"/>
                <w:color w:val="auto"/>
              </w:rPr>
            </w:pPr>
            <w:r>
              <w:rPr>
                <w:rFonts w:ascii="Arial" w:cs="Arial" w:eastAsia="Arial" w:hAnsi="Arial"/>
                <w:sz w:val="12"/>
                <w:szCs w:val="12"/>
                <w:color w:val="auto"/>
              </w:rPr>
              <w:t>(1,709)</w:t>
            </w:r>
          </w:p>
        </w:tc>
        <w:tc>
          <w:tcPr>
            <w:tcW w:w="1380" w:type="dxa"/>
            <w:vAlign w:val="bottom"/>
            <w:shd w:val="clear" w:color="auto" w:fill="CCEEFF"/>
          </w:tcPr>
          <w:p>
            <w:pPr>
              <w:jc w:val="right"/>
              <w:ind w:right="280"/>
              <w:spacing w:after="0"/>
              <w:rPr>
                <w:sz w:val="20"/>
                <w:szCs w:val="20"/>
                <w:color w:val="auto"/>
              </w:rPr>
            </w:pPr>
            <w:r>
              <w:rPr>
                <w:rFonts w:ascii="Arial" w:cs="Arial" w:eastAsia="Arial" w:hAnsi="Arial"/>
                <w:sz w:val="12"/>
                <w:szCs w:val="12"/>
                <w:color w:val="auto"/>
              </w:rPr>
              <w:t>(12,015)</w:t>
            </w:r>
          </w:p>
        </w:tc>
        <w:tc>
          <w:tcPr>
            <w:tcW w:w="1600" w:type="dxa"/>
            <w:vAlign w:val="bottom"/>
            <w:shd w:val="clear" w:color="auto" w:fill="CCEEFF"/>
          </w:tcPr>
          <w:p>
            <w:pPr>
              <w:jc w:val="right"/>
              <w:ind w:right="440"/>
              <w:spacing w:after="0"/>
              <w:rPr>
                <w:sz w:val="20"/>
                <w:szCs w:val="20"/>
                <w:color w:val="auto"/>
              </w:rPr>
            </w:pPr>
            <w:r>
              <w:rPr>
                <w:rFonts w:ascii="Arial" w:cs="Arial" w:eastAsia="Arial" w:hAnsi="Arial"/>
                <w:sz w:val="12"/>
                <w:szCs w:val="12"/>
                <w:color w:val="auto"/>
              </w:rPr>
              <w:t>(6,835)</w:t>
            </w: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(28,239)</w:t>
            </w:r>
          </w:p>
        </w:tc>
      </w:tr>
      <w:tr>
        <w:trPr>
          <w:trHeight w:val="153"/>
        </w:trPr>
        <w:tc>
          <w:tcPr>
            <w:tcW w:w="4640" w:type="dxa"/>
            <w:vAlign w:val="bottom"/>
          </w:tcPr>
          <w:p>
            <w:pPr>
              <w:spacing w:after="0"/>
              <w:rPr>
                <w:sz w:val="20"/>
                <w:szCs w:val="20"/>
                <w:color w:val="auto"/>
              </w:rPr>
            </w:pPr>
            <w:r>
              <w:rPr>
                <w:rFonts w:ascii="Arial" w:cs="Arial" w:eastAsia="Arial" w:hAnsi="Arial"/>
                <w:sz w:val="12"/>
                <w:szCs w:val="12"/>
                <w:color w:val="auto"/>
              </w:rPr>
              <w:t>Adjusted to exclude</w:t>
            </w:r>
          </w:p>
        </w:tc>
        <w:tc>
          <w:tcPr>
            <w:tcW w:w="28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880" w:type="dxa"/>
            <w:vAlign w:val="bottom"/>
          </w:tcPr>
          <w:p>
            <w:pPr>
              <w:spacing w:after="0"/>
              <w:rPr>
                <w:sz w:val="13"/>
                <w:szCs w:val="13"/>
                <w:color w:val="auto"/>
              </w:rPr>
            </w:pPr>
          </w:p>
        </w:tc>
      </w:tr>
      <w:tr>
        <w:trPr>
          <w:trHeight w:val="153"/>
        </w:trPr>
        <w:tc>
          <w:tcPr>
            <w:tcW w:w="4640" w:type="dxa"/>
            <w:vAlign w:val="bottom"/>
            <w:shd w:val="clear" w:color="auto" w:fill="CCEEFF"/>
          </w:tcPr>
          <w:p>
            <w:pPr>
              <w:ind w:left="80"/>
              <w:spacing w:after="0"/>
              <w:rPr>
                <w:sz w:val="20"/>
                <w:szCs w:val="20"/>
                <w:color w:val="auto"/>
              </w:rPr>
            </w:pPr>
            <w:r>
              <w:rPr>
                <w:rFonts w:ascii="Arial" w:cs="Arial" w:eastAsia="Arial" w:hAnsi="Arial"/>
                <w:sz w:val="12"/>
                <w:szCs w:val="12"/>
                <w:color w:val="auto"/>
              </w:rPr>
              <w:t>Income tax expense (benefit)</w:t>
            </w:r>
          </w:p>
        </w:tc>
        <w:tc>
          <w:tcPr>
            <w:tcW w:w="2800" w:type="dxa"/>
            <w:vAlign w:val="bottom"/>
            <w:shd w:val="clear" w:color="auto" w:fill="CCEEFF"/>
          </w:tcPr>
          <w:p>
            <w:pPr>
              <w:jc w:val="right"/>
              <w:ind w:right="240"/>
              <w:spacing w:after="0"/>
              <w:rPr>
                <w:sz w:val="20"/>
                <w:szCs w:val="20"/>
                <w:color w:val="auto"/>
              </w:rPr>
            </w:pPr>
            <w:r>
              <w:rPr>
                <w:rFonts w:ascii="Arial" w:cs="Arial" w:eastAsia="Arial" w:hAnsi="Arial"/>
                <w:sz w:val="12"/>
                <w:szCs w:val="12"/>
                <w:color w:val="auto"/>
              </w:rPr>
              <w:t>3,448</w:t>
            </w:r>
          </w:p>
        </w:tc>
        <w:tc>
          <w:tcPr>
            <w:tcW w:w="1380" w:type="dxa"/>
            <w:vAlign w:val="bottom"/>
            <w:shd w:val="clear" w:color="auto" w:fill="CCEEFF"/>
          </w:tcPr>
          <w:p>
            <w:pPr>
              <w:jc w:val="right"/>
              <w:ind w:right="280"/>
              <w:spacing w:after="0"/>
              <w:rPr>
                <w:sz w:val="20"/>
                <w:szCs w:val="20"/>
                <w:color w:val="auto"/>
              </w:rPr>
            </w:pPr>
            <w:r>
              <w:rPr>
                <w:rFonts w:ascii="Arial" w:cs="Arial" w:eastAsia="Arial" w:hAnsi="Arial"/>
                <w:sz w:val="12"/>
                <w:szCs w:val="12"/>
                <w:color w:val="auto"/>
              </w:rPr>
              <w:t>(1,780)</w:t>
            </w:r>
          </w:p>
        </w:tc>
        <w:tc>
          <w:tcPr>
            <w:tcW w:w="1600" w:type="dxa"/>
            <w:vAlign w:val="bottom"/>
            <w:shd w:val="clear" w:color="auto" w:fill="CCEEFF"/>
          </w:tcPr>
          <w:p>
            <w:pPr>
              <w:jc w:val="right"/>
              <w:ind w:right="480"/>
              <w:spacing w:after="0"/>
              <w:rPr>
                <w:sz w:val="20"/>
                <w:szCs w:val="20"/>
                <w:color w:val="auto"/>
              </w:rPr>
            </w:pPr>
            <w:r>
              <w:rPr>
                <w:rFonts w:ascii="Arial" w:cs="Arial" w:eastAsia="Arial" w:hAnsi="Arial"/>
                <w:sz w:val="12"/>
                <w:szCs w:val="12"/>
                <w:color w:val="auto"/>
              </w:rPr>
              <w:t>4,379</w:t>
            </w: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1,463</w:t>
            </w:r>
          </w:p>
        </w:tc>
      </w:tr>
      <w:tr>
        <w:trPr>
          <w:trHeight w:val="153"/>
        </w:trPr>
        <w:tc>
          <w:tcPr>
            <w:tcW w:w="4640" w:type="dxa"/>
            <w:vAlign w:val="bottom"/>
          </w:tcPr>
          <w:p>
            <w:pPr>
              <w:ind w:left="80"/>
              <w:spacing w:after="0"/>
              <w:rPr>
                <w:sz w:val="20"/>
                <w:szCs w:val="20"/>
                <w:color w:val="auto"/>
              </w:rPr>
            </w:pPr>
            <w:r>
              <w:rPr>
                <w:rFonts w:ascii="Arial" w:cs="Arial" w:eastAsia="Arial" w:hAnsi="Arial"/>
                <w:sz w:val="12"/>
                <w:szCs w:val="12"/>
                <w:color w:val="auto"/>
              </w:rPr>
              <w:t>Non-operating expenses, net</w:t>
            </w:r>
          </w:p>
        </w:tc>
        <w:tc>
          <w:tcPr>
            <w:tcW w:w="2800" w:type="dxa"/>
            <w:vAlign w:val="bottom"/>
          </w:tcPr>
          <w:p>
            <w:pPr>
              <w:jc w:val="right"/>
              <w:ind w:right="240"/>
              <w:spacing w:after="0"/>
              <w:rPr>
                <w:sz w:val="20"/>
                <w:szCs w:val="20"/>
                <w:color w:val="auto"/>
              </w:rPr>
            </w:pPr>
            <w:r>
              <w:rPr>
                <w:rFonts w:ascii="Arial" w:cs="Arial" w:eastAsia="Arial" w:hAnsi="Arial"/>
                <w:sz w:val="12"/>
                <w:szCs w:val="12"/>
                <w:color w:val="auto"/>
              </w:rPr>
              <w:t>6,803</w:t>
            </w:r>
          </w:p>
        </w:tc>
        <w:tc>
          <w:tcPr>
            <w:tcW w:w="1380" w:type="dxa"/>
            <w:vAlign w:val="bottom"/>
          </w:tcPr>
          <w:p>
            <w:pPr>
              <w:jc w:val="right"/>
              <w:ind w:right="280"/>
              <w:spacing w:after="0"/>
              <w:rPr>
                <w:sz w:val="20"/>
                <w:szCs w:val="20"/>
                <w:color w:val="auto"/>
              </w:rPr>
            </w:pPr>
            <w:r>
              <w:rPr>
                <w:rFonts w:ascii="Arial" w:cs="Arial" w:eastAsia="Arial" w:hAnsi="Arial"/>
                <w:sz w:val="12"/>
                <w:szCs w:val="12"/>
                <w:color w:val="auto"/>
              </w:rPr>
              <w:t>9,292</w:t>
            </w:r>
          </w:p>
        </w:tc>
        <w:tc>
          <w:tcPr>
            <w:tcW w:w="1600" w:type="dxa"/>
            <w:vAlign w:val="bottom"/>
          </w:tcPr>
          <w:p>
            <w:pPr>
              <w:jc w:val="right"/>
              <w:ind w:right="480"/>
              <w:spacing w:after="0"/>
              <w:rPr>
                <w:sz w:val="20"/>
                <w:szCs w:val="20"/>
                <w:color w:val="auto"/>
              </w:rPr>
            </w:pPr>
            <w:r>
              <w:rPr>
                <w:rFonts w:ascii="Arial" w:cs="Arial" w:eastAsia="Arial" w:hAnsi="Arial"/>
                <w:sz w:val="12"/>
                <w:szCs w:val="12"/>
                <w:color w:val="auto"/>
              </w:rPr>
              <w:t>16,206</w:t>
            </w:r>
          </w:p>
        </w:tc>
        <w:tc>
          <w:tcPr>
            <w:tcW w:w="880" w:type="dxa"/>
            <w:vAlign w:val="bottom"/>
          </w:tcPr>
          <w:p>
            <w:pPr>
              <w:jc w:val="right"/>
              <w:spacing w:after="0"/>
              <w:rPr>
                <w:sz w:val="20"/>
                <w:szCs w:val="20"/>
                <w:color w:val="auto"/>
              </w:rPr>
            </w:pPr>
            <w:r>
              <w:rPr>
                <w:rFonts w:ascii="Arial" w:cs="Arial" w:eastAsia="Arial" w:hAnsi="Arial"/>
                <w:sz w:val="12"/>
                <w:szCs w:val="12"/>
                <w:color w:val="auto"/>
              </w:rPr>
              <w:t>18,921</w:t>
            </w:r>
          </w:p>
        </w:tc>
      </w:tr>
      <w:tr>
        <w:trPr>
          <w:trHeight w:val="153"/>
        </w:trPr>
        <w:tc>
          <w:tcPr>
            <w:tcW w:w="4640" w:type="dxa"/>
            <w:vAlign w:val="bottom"/>
            <w:shd w:val="clear" w:color="auto" w:fill="CCEEFF"/>
          </w:tcPr>
          <w:p>
            <w:pPr>
              <w:ind w:left="80"/>
              <w:spacing w:after="0"/>
              <w:rPr>
                <w:sz w:val="20"/>
                <w:szCs w:val="20"/>
                <w:color w:val="auto"/>
              </w:rPr>
            </w:pPr>
            <w:r>
              <w:rPr>
                <w:rFonts w:ascii="Arial" w:cs="Arial" w:eastAsia="Arial" w:hAnsi="Arial"/>
                <w:sz w:val="12"/>
                <w:szCs w:val="12"/>
                <w:color w:val="auto"/>
              </w:rPr>
              <w:t>Equity in earnings of TNI and MNI</w:t>
            </w:r>
          </w:p>
        </w:tc>
        <w:tc>
          <w:tcPr>
            <w:tcW w:w="2800" w:type="dxa"/>
            <w:vAlign w:val="bottom"/>
            <w:shd w:val="clear" w:color="auto" w:fill="CCEEFF"/>
          </w:tcPr>
          <w:p>
            <w:pPr>
              <w:jc w:val="right"/>
              <w:ind w:right="200"/>
              <w:spacing w:after="0"/>
              <w:rPr>
                <w:sz w:val="20"/>
                <w:szCs w:val="20"/>
                <w:color w:val="auto"/>
              </w:rPr>
            </w:pPr>
            <w:r>
              <w:rPr>
                <w:rFonts w:ascii="Arial" w:cs="Arial" w:eastAsia="Arial" w:hAnsi="Arial"/>
                <w:sz w:val="12"/>
                <w:szCs w:val="12"/>
                <w:color w:val="auto"/>
              </w:rPr>
              <w:t>(1,008)</w:t>
            </w:r>
          </w:p>
        </w:tc>
        <w:tc>
          <w:tcPr>
            <w:tcW w:w="1380" w:type="dxa"/>
            <w:vAlign w:val="bottom"/>
            <w:shd w:val="clear" w:color="auto" w:fill="CCEEFF"/>
          </w:tcPr>
          <w:p>
            <w:pPr>
              <w:jc w:val="right"/>
              <w:ind w:right="280"/>
              <w:spacing w:after="0"/>
              <w:rPr>
                <w:sz w:val="20"/>
                <w:szCs w:val="20"/>
                <w:color w:val="auto"/>
              </w:rPr>
            </w:pPr>
            <w:r>
              <w:rPr>
                <w:rFonts w:ascii="Arial" w:cs="Arial" w:eastAsia="Arial" w:hAnsi="Arial"/>
                <w:sz w:val="12"/>
                <w:szCs w:val="12"/>
                <w:color w:val="auto"/>
              </w:rPr>
              <w:t>(1,155)</w:t>
            </w:r>
          </w:p>
        </w:tc>
        <w:tc>
          <w:tcPr>
            <w:tcW w:w="1600" w:type="dxa"/>
            <w:vAlign w:val="bottom"/>
            <w:shd w:val="clear" w:color="auto" w:fill="CCEEFF"/>
          </w:tcPr>
          <w:p>
            <w:pPr>
              <w:jc w:val="right"/>
              <w:ind w:right="440"/>
              <w:spacing w:after="0"/>
              <w:rPr>
                <w:sz w:val="20"/>
                <w:szCs w:val="20"/>
                <w:color w:val="auto"/>
              </w:rPr>
            </w:pPr>
            <w:r>
              <w:rPr>
                <w:rFonts w:ascii="Arial" w:cs="Arial" w:eastAsia="Arial" w:hAnsi="Arial"/>
                <w:sz w:val="12"/>
                <w:szCs w:val="12"/>
                <w:color w:val="auto"/>
              </w:rPr>
              <w:t>(2,088)</w:t>
            </w: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(2,277)</w:t>
            </w:r>
          </w:p>
        </w:tc>
      </w:tr>
      <w:tr>
        <w:trPr>
          <w:trHeight w:val="153"/>
        </w:trPr>
        <w:tc>
          <w:tcPr>
            <w:tcW w:w="4640" w:type="dxa"/>
            <w:vAlign w:val="bottom"/>
          </w:tcPr>
          <w:p>
            <w:pPr>
              <w:ind w:left="80"/>
              <w:spacing w:after="0"/>
              <w:rPr>
                <w:sz w:val="20"/>
                <w:szCs w:val="20"/>
                <w:color w:val="auto"/>
              </w:rPr>
            </w:pPr>
            <w:r>
              <w:rPr>
                <w:rFonts w:ascii="Arial" w:cs="Arial" w:eastAsia="Arial" w:hAnsi="Arial"/>
                <w:sz w:val="12"/>
                <w:szCs w:val="12"/>
                <w:color w:val="auto"/>
              </w:rPr>
              <w:t>Depreciation and amortization</w:t>
            </w:r>
          </w:p>
        </w:tc>
        <w:tc>
          <w:tcPr>
            <w:tcW w:w="2800" w:type="dxa"/>
            <w:vAlign w:val="bottom"/>
          </w:tcPr>
          <w:p>
            <w:pPr>
              <w:jc w:val="right"/>
              <w:ind w:right="240"/>
              <w:spacing w:after="0"/>
              <w:rPr>
                <w:sz w:val="20"/>
                <w:szCs w:val="20"/>
                <w:color w:val="auto"/>
              </w:rPr>
            </w:pPr>
            <w:r>
              <w:rPr>
                <w:rFonts w:ascii="Arial" w:cs="Arial" w:eastAsia="Arial" w:hAnsi="Arial"/>
                <w:sz w:val="12"/>
                <w:szCs w:val="12"/>
                <w:color w:val="auto"/>
              </w:rPr>
              <w:t>3,515</w:t>
            </w:r>
          </w:p>
        </w:tc>
        <w:tc>
          <w:tcPr>
            <w:tcW w:w="1380" w:type="dxa"/>
            <w:vAlign w:val="bottom"/>
          </w:tcPr>
          <w:p>
            <w:pPr>
              <w:jc w:val="right"/>
              <w:ind w:right="280"/>
              <w:spacing w:after="0"/>
              <w:rPr>
                <w:sz w:val="20"/>
                <w:szCs w:val="20"/>
                <w:color w:val="auto"/>
              </w:rPr>
            </w:pPr>
            <w:r>
              <w:rPr>
                <w:rFonts w:ascii="Arial" w:cs="Arial" w:eastAsia="Arial" w:hAnsi="Arial"/>
                <w:sz w:val="12"/>
                <w:szCs w:val="12"/>
                <w:color w:val="auto"/>
              </w:rPr>
              <w:t>5,171</w:t>
            </w:r>
          </w:p>
        </w:tc>
        <w:tc>
          <w:tcPr>
            <w:tcW w:w="1600" w:type="dxa"/>
            <w:vAlign w:val="bottom"/>
          </w:tcPr>
          <w:p>
            <w:pPr>
              <w:jc w:val="right"/>
              <w:ind w:right="480"/>
              <w:spacing w:after="0"/>
              <w:rPr>
                <w:sz w:val="20"/>
                <w:szCs w:val="20"/>
                <w:color w:val="auto"/>
              </w:rPr>
            </w:pPr>
            <w:r>
              <w:rPr>
                <w:rFonts w:ascii="Arial" w:cs="Arial" w:eastAsia="Arial" w:hAnsi="Arial"/>
                <w:sz w:val="12"/>
                <w:szCs w:val="12"/>
                <w:color w:val="auto"/>
              </w:rPr>
              <w:t>7,094</w:t>
            </w:r>
          </w:p>
        </w:tc>
        <w:tc>
          <w:tcPr>
            <w:tcW w:w="880" w:type="dxa"/>
            <w:vAlign w:val="bottom"/>
          </w:tcPr>
          <w:p>
            <w:pPr>
              <w:jc w:val="right"/>
              <w:spacing w:after="0"/>
              <w:rPr>
                <w:sz w:val="20"/>
                <w:szCs w:val="20"/>
                <w:color w:val="auto"/>
              </w:rPr>
            </w:pPr>
            <w:r>
              <w:rPr>
                <w:rFonts w:ascii="Arial" w:cs="Arial" w:eastAsia="Arial" w:hAnsi="Arial"/>
                <w:sz w:val="12"/>
                <w:szCs w:val="12"/>
                <w:color w:val="auto"/>
              </w:rPr>
              <w:t>11,436</w:t>
            </w:r>
          </w:p>
        </w:tc>
      </w:tr>
      <w:tr>
        <w:trPr>
          <w:trHeight w:val="153"/>
        </w:trPr>
        <w:tc>
          <w:tcPr>
            <w:tcW w:w="4640" w:type="dxa"/>
            <w:vAlign w:val="bottom"/>
            <w:shd w:val="clear" w:color="auto" w:fill="CCEEFF"/>
          </w:tcPr>
          <w:p>
            <w:pPr>
              <w:ind w:left="80"/>
              <w:spacing w:after="0"/>
              <w:rPr>
                <w:sz w:val="20"/>
                <w:szCs w:val="20"/>
                <w:color w:val="auto"/>
              </w:rPr>
            </w:pPr>
            <w:r>
              <w:rPr>
                <w:rFonts w:ascii="Arial" w:cs="Arial" w:eastAsia="Arial" w:hAnsi="Arial"/>
                <w:sz w:val="12"/>
                <w:szCs w:val="12"/>
                <w:color w:val="auto"/>
              </w:rPr>
              <w:t>Restructuring costs and other</w:t>
            </w:r>
          </w:p>
        </w:tc>
        <w:tc>
          <w:tcPr>
            <w:tcW w:w="2800" w:type="dxa"/>
            <w:vAlign w:val="bottom"/>
            <w:shd w:val="clear" w:color="auto" w:fill="CCEEFF"/>
          </w:tcPr>
          <w:p>
            <w:pPr>
              <w:jc w:val="right"/>
              <w:ind w:right="240"/>
              <w:spacing w:after="0"/>
              <w:rPr>
                <w:sz w:val="20"/>
                <w:szCs w:val="20"/>
                <w:color w:val="auto"/>
              </w:rPr>
            </w:pPr>
            <w:r>
              <w:rPr>
                <w:rFonts w:ascii="Arial" w:cs="Arial" w:eastAsia="Arial" w:hAnsi="Arial"/>
                <w:sz w:val="12"/>
                <w:szCs w:val="12"/>
                <w:color w:val="auto"/>
              </w:rPr>
              <w:t>3,640</w:t>
            </w:r>
          </w:p>
        </w:tc>
        <w:tc>
          <w:tcPr>
            <w:tcW w:w="1380" w:type="dxa"/>
            <w:vAlign w:val="bottom"/>
            <w:shd w:val="clear" w:color="auto" w:fill="CCEEFF"/>
          </w:tcPr>
          <w:p>
            <w:pPr>
              <w:jc w:val="right"/>
              <w:ind w:right="280"/>
              <w:spacing w:after="0"/>
              <w:rPr>
                <w:sz w:val="20"/>
                <w:szCs w:val="20"/>
                <w:color w:val="auto"/>
              </w:rPr>
            </w:pPr>
            <w:r>
              <w:rPr>
                <w:rFonts w:ascii="Arial" w:cs="Arial" w:eastAsia="Arial" w:hAnsi="Arial"/>
                <w:sz w:val="12"/>
                <w:szCs w:val="12"/>
                <w:color w:val="auto"/>
              </w:rPr>
              <w:t>6,516</w:t>
            </w:r>
          </w:p>
        </w:tc>
        <w:tc>
          <w:tcPr>
            <w:tcW w:w="1600" w:type="dxa"/>
            <w:vAlign w:val="bottom"/>
            <w:shd w:val="clear" w:color="auto" w:fill="CCEEFF"/>
          </w:tcPr>
          <w:p>
            <w:pPr>
              <w:jc w:val="right"/>
              <w:ind w:right="480"/>
              <w:spacing w:after="0"/>
              <w:rPr>
                <w:sz w:val="20"/>
                <w:szCs w:val="20"/>
                <w:color w:val="auto"/>
              </w:rPr>
            </w:pPr>
            <w:r>
              <w:rPr>
                <w:rFonts w:ascii="Arial" w:cs="Arial" w:eastAsia="Arial" w:hAnsi="Arial"/>
                <w:sz w:val="12"/>
                <w:szCs w:val="12"/>
                <w:color w:val="auto"/>
              </w:rPr>
              <w:t>6,788</w:t>
            </w: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11,666</w:t>
            </w:r>
          </w:p>
        </w:tc>
      </w:tr>
      <w:tr>
        <w:trPr>
          <w:trHeight w:val="153"/>
        </w:trPr>
        <w:tc>
          <w:tcPr>
            <w:tcW w:w="4640" w:type="dxa"/>
            <w:vAlign w:val="bottom"/>
          </w:tcPr>
          <w:p>
            <w:pPr>
              <w:ind w:left="80"/>
              <w:spacing w:after="0"/>
              <w:rPr>
                <w:sz w:val="20"/>
                <w:szCs w:val="20"/>
                <w:color w:val="auto"/>
              </w:rPr>
            </w:pPr>
            <w:r>
              <w:rPr>
                <w:rFonts w:ascii="Arial" w:cs="Arial" w:eastAsia="Arial" w:hAnsi="Arial"/>
                <w:sz w:val="12"/>
                <w:szCs w:val="12"/>
                <w:color w:val="auto"/>
              </w:rPr>
              <w:t>(Gain) loss on asset sales, impairments and other, net</w:t>
            </w:r>
          </w:p>
        </w:tc>
        <w:tc>
          <w:tcPr>
            <w:tcW w:w="2800" w:type="dxa"/>
            <w:vAlign w:val="bottom"/>
          </w:tcPr>
          <w:p>
            <w:pPr>
              <w:jc w:val="right"/>
              <w:ind w:right="200"/>
              <w:spacing w:after="0"/>
              <w:rPr>
                <w:sz w:val="20"/>
                <w:szCs w:val="20"/>
                <w:color w:val="auto"/>
              </w:rPr>
            </w:pPr>
            <w:r>
              <w:rPr>
                <w:rFonts w:ascii="Arial" w:cs="Arial" w:eastAsia="Arial" w:hAnsi="Arial"/>
                <w:sz w:val="12"/>
                <w:szCs w:val="12"/>
                <w:color w:val="auto"/>
              </w:rPr>
              <w:t>(900)</w:t>
            </w:r>
          </w:p>
        </w:tc>
        <w:tc>
          <w:tcPr>
            <w:tcW w:w="1380" w:type="dxa"/>
            <w:vAlign w:val="bottom"/>
          </w:tcPr>
          <w:p>
            <w:pPr>
              <w:jc w:val="right"/>
              <w:ind w:right="280"/>
              <w:spacing w:after="0"/>
              <w:rPr>
                <w:sz w:val="20"/>
                <w:szCs w:val="20"/>
                <w:color w:val="auto"/>
              </w:rPr>
            </w:pPr>
            <w:r>
              <w:rPr>
                <w:rFonts w:ascii="Arial" w:cs="Arial" w:eastAsia="Arial" w:hAnsi="Arial"/>
                <w:sz w:val="12"/>
                <w:szCs w:val="12"/>
                <w:color w:val="auto"/>
              </w:rPr>
              <w:t>126</w:t>
            </w:r>
          </w:p>
        </w:tc>
        <w:tc>
          <w:tcPr>
            <w:tcW w:w="1600" w:type="dxa"/>
            <w:vAlign w:val="bottom"/>
          </w:tcPr>
          <w:p>
            <w:pPr>
              <w:jc w:val="right"/>
              <w:ind w:right="440"/>
              <w:spacing w:after="0"/>
              <w:rPr>
                <w:sz w:val="20"/>
                <w:szCs w:val="20"/>
                <w:color w:val="auto"/>
              </w:rPr>
            </w:pPr>
            <w:r>
              <w:rPr>
                <w:rFonts w:ascii="Arial" w:cs="Arial" w:eastAsia="Arial" w:hAnsi="Arial"/>
                <w:sz w:val="12"/>
                <w:szCs w:val="12"/>
                <w:color w:val="auto"/>
              </w:rPr>
              <w:t>(903)</w:t>
            </w:r>
          </w:p>
        </w:tc>
        <w:tc>
          <w:tcPr>
            <w:tcW w:w="880" w:type="dxa"/>
            <w:vAlign w:val="bottom"/>
          </w:tcPr>
          <w:p>
            <w:pPr>
              <w:jc w:val="right"/>
              <w:spacing w:after="0"/>
              <w:rPr>
                <w:sz w:val="20"/>
                <w:szCs w:val="20"/>
                <w:color w:val="auto"/>
              </w:rPr>
            </w:pPr>
            <w:r>
              <w:rPr>
                <w:rFonts w:ascii="Arial" w:cs="Arial" w:eastAsia="Arial" w:hAnsi="Arial"/>
                <w:sz w:val="12"/>
                <w:szCs w:val="12"/>
                <w:color w:val="auto"/>
              </w:rPr>
              <w:t>(803)</w:t>
            </w:r>
          </w:p>
        </w:tc>
      </w:tr>
      <w:tr>
        <w:trPr>
          <w:trHeight w:val="153"/>
        </w:trPr>
        <w:tc>
          <w:tcPr>
            <w:tcW w:w="4640" w:type="dxa"/>
            <w:vAlign w:val="bottom"/>
            <w:shd w:val="clear" w:color="auto" w:fill="CCEEFF"/>
          </w:tcPr>
          <w:p>
            <w:pPr>
              <w:ind w:left="80"/>
              <w:spacing w:after="0"/>
              <w:rPr>
                <w:sz w:val="20"/>
                <w:szCs w:val="20"/>
                <w:color w:val="auto"/>
              </w:rPr>
            </w:pPr>
            <w:r>
              <w:rPr>
                <w:rFonts w:ascii="Arial" w:cs="Arial" w:eastAsia="Arial" w:hAnsi="Arial"/>
                <w:sz w:val="12"/>
                <w:szCs w:val="12"/>
                <w:color w:val="auto"/>
              </w:rPr>
              <w:t>Stock compensation</w:t>
            </w:r>
          </w:p>
        </w:tc>
        <w:tc>
          <w:tcPr>
            <w:tcW w:w="2800" w:type="dxa"/>
            <w:vAlign w:val="bottom"/>
            <w:shd w:val="clear" w:color="auto" w:fill="CCEEFF"/>
          </w:tcPr>
          <w:p>
            <w:pPr>
              <w:jc w:val="right"/>
              <w:ind w:right="240"/>
              <w:spacing w:after="0"/>
              <w:rPr>
                <w:sz w:val="20"/>
                <w:szCs w:val="20"/>
                <w:color w:val="auto"/>
              </w:rPr>
            </w:pPr>
            <w:r>
              <w:rPr>
                <w:rFonts w:ascii="Arial" w:cs="Arial" w:eastAsia="Arial" w:hAnsi="Arial"/>
                <w:sz w:val="12"/>
                <w:szCs w:val="12"/>
                <w:color w:val="auto"/>
              </w:rPr>
              <w:t>213</w:t>
            </w:r>
          </w:p>
        </w:tc>
        <w:tc>
          <w:tcPr>
            <w:tcW w:w="1380" w:type="dxa"/>
            <w:vAlign w:val="bottom"/>
            <w:shd w:val="clear" w:color="auto" w:fill="CCEEFF"/>
          </w:tcPr>
          <w:p>
            <w:pPr>
              <w:jc w:val="right"/>
              <w:ind w:right="280"/>
              <w:spacing w:after="0"/>
              <w:rPr>
                <w:sz w:val="20"/>
                <w:szCs w:val="20"/>
                <w:color w:val="auto"/>
              </w:rPr>
            </w:pPr>
            <w:r>
              <w:rPr>
                <w:rFonts w:ascii="Arial" w:cs="Arial" w:eastAsia="Arial" w:hAnsi="Arial"/>
                <w:sz w:val="12"/>
                <w:szCs w:val="12"/>
                <w:color w:val="auto"/>
              </w:rPr>
              <w:t>358</w:t>
            </w:r>
          </w:p>
        </w:tc>
        <w:tc>
          <w:tcPr>
            <w:tcW w:w="1600" w:type="dxa"/>
            <w:vAlign w:val="bottom"/>
            <w:shd w:val="clear" w:color="auto" w:fill="CCEEFF"/>
          </w:tcPr>
          <w:p>
            <w:pPr>
              <w:jc w:val="right"/>
              <w:ind w:right="480"/>
              <w:spacing w:after="0"/>
              <w:rPr>
                <w:sz w:val="20"/>
                <w:szCs w:val="20"/>
                <w:color w:val="auto"/>
              </w:rPr>
            </w:pPr>
            <w:r>
              <w:rPr>
                <w:rFonts w:ascii="Arial" w:cs="Arial" w:eastAsia="Arial" w:hAnsi="Arial"/>
                <w:sz w:val="12"/>
                <w:szCs w:val="12"/>
                <w:color w:val="auto"/>
              </w:rPr>
              <w:t>541</w:t>
            </w: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788</w:t>
            </w:r>
          </w:p>
        </w:tc>
      </w:tr>
      <w:tr>
        <w:trPr>
          <w:trHeight w:val="153"/>
        </w:trPr>
        <w:tc>
          <w:tcPr>
            <w:tcW w:w="4640" w:type="dxa"/>
            <w:vAlign w:val="bottom"/>
          </w:tcPr>
          <w:p>
            <w:pPr>
              <w:spacing w:after="0"/>
              <w:rPr>
                <w:sz w:val="20"/>
                <w:szCs w:val="20"/>
                <w:color w:val="auto"/>
              </w:rPr>
            </w:pPr>
            <w:r>
              <w:rPr>
                <w:rFonts w:ascii="Arial" w:cs="Arial" w:eastAsia="Arial" w:hAnsi="Arial"/>
                <w:sz w:val="12"/>
                <w:szCs w:val="12"/>
                <w:color w:val="auto"/>
              </w:rPr>
              <w:t>Add:</w:t>
            </w:r>
          </w:p>
        </w:tc>
        <w:tc>
          <w:tcPr>
            <w:tcW w:w="28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880" w:type="dxa"/>
            <w:vAlign w:val="bottom"/>
          </w:tcPr>
          <w:p>
            <w:pPr>
              <w:spacing w:after="0"/>
              <w:rPr>
                <w:sz w:val="13"/>
                <w:szCs w:val="13"/>
                <w:color w:val="auto"/>
              </w:rPr>
            </w:pPr>
          </w:p>
        </w:tc>
      </w:tr>
      <w:tr>
        <w:trPr>
          <w:trHeight w:val="153"/>
        </w:trPr>
        <w:tc>
          <w:tcPr>
            <w:tcW w:w="464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2"/>
                <w:szCs w:val="12"/>
                <w:color w:val="auto"/>
              </w:rPr>
              <w:t>Ownership share of TNI and MNI EBITDA (50%)</w:t>
            </w:r>
          </w:p>
        </w:tc>
        <w:tc>
          <w:tcPr>
            <w:tcW w:w="2800" w:type="dxa"/>
            <w:vAlign w:val="bottom"/>
            <w:tcBorders>
              <w:bottom w:val="single" w:sz="8" w:color="auto"/>
            </w:tcBorders>
            <w:shd w:val="clear" w:color="auto" w:fill="CCEEFF"/>
          </w:tcPr>
          <w:p>
            <w:pPr>
              <w:jc w:val="right"/>
              <w:ind w:right="240"/>
              <w:spacing w:after="0"/>
              <w:rPr>
                <w:sz w:val="20"/>
                <w:szCs w:val="20"/>
                <w:color w:val="auto"/>
              </w:rPr>
            </w:pPr>
            <w:r>
              <w:rPr>
                <w:rFonts w:ascii="Arial" w:cs="Arial" w:eastAsia="Arial" w:hAnsi="Arial"/>
                <w:sz w:val="12"/>
                <w:szCs w:val="12"/>
                <w:color w:val="auto"/>
              </w:rPr>
              <w:t>1,123</w:t>
            </w:r>
          </w:p>
        </w:tc>
        <w:tc>
          <w:tcPr>
            <w:tcW w:w="1380" w:type="dxa"/>
            <w:vAlign w:val="bottom"/>
            <w:tcBorders>
              <w:bottom w:val="single" w:sz="8" w:color="auto"/>
            </w:tcBorders>
            <w:shd w:val="clear" w:color="auto" w:fill="CCEEFF"/>
          </w:tcPr>
          <w:p>
            <w:pPr>
              <w:jc w:val="right"/>
              <w:ind w:right="280"/>
              <w:spacing w:after="0"/>
              <w:rPr>
                <w:sz w:val="20"/>
                <w:szCs w:val="20"/>
                <w:color w:val="auto"/>
              </w:rPr>
            </w:pPr>
            <w:r>
              <w:rPr>
                <w:rFonts w:ascii="Arial" w:cs="Arial" w:eastAsia="Arial" w:hAnsi="Arial"/>
                <w:sz w:val="12"/>
                <w:szCs w:val="12"/>
                <w:color w:val="auto"/>
              </w:rPr>
              <w:t>1,255</w:t>
            </w:r>
          </w:p>
        </w:tc>
        <w:tc>
          <w:tcPr>
            <w:tcW w:w="1600" w:type="dxa"/>
            <w:vAlign w:val="bottom"/>
            <w:tcBorders>
              <w:bottom w:val="single" w:sz="8" w:color="auto"/>
            </w:tcBorders>
            <w:shd w:val="clear" w:color="auto" w:fill="CCEEFF"/>
          </w:tcPr>
          <w:p>
            <w:pPr>
              <w:jc w:val="right"/>
              <w:ind w:right="480"/>
              <w:spacing w:after="0"/>
              <w:rPr>
                <w:sz w:val="20"/>
                <w:szCs w:val="20"/>
                <w:color w:val="auto"/>
              </w:rPr>
            </w:pPr>
            <w:r>
              <w:rPr>
                <w:rFonts w:ascii="Arial" w:cs="Arial" w:eastAsia="Arial" w:hAnsi="Arial"/>
                <w:sz w:val="12"/>
                <w:szCs w:val="12"/>
                <w:color w:val="auto"/>
              </w:rPr>
              <w:t>2,224</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2,422</w:t>
            </w:r>
          </w:p>
        </w:tc>
      </w:tr>
      <w:tr>
        <w:trPr>
          <w:trHeight w:val="142"/>
        </w:trPr>
        <w:tc>
          <w:tcPr>
            <w:tcW w:w="464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Adjusted EBITDA</w:t>
            </w:r>
          </w:p>
        </w:tc>
        <w:tc>
          <w:tcPr>
            <w:tcW w:w="2800" w:type="dxa"/>
            <w:vAlign w:val="bottom"/>
            <w:tcBorders>
              <w:bottom w:val="single" w:sz="8" w:color="auto"/>
            </w:tcBorders>
          </w:tcPr>
          <w:p>
            <w:pPr>
              <w:jc w:val="right"/>
              <w:ind w:right="240"/>
              <w:spacing w:after="0"/>
              <w:rPr>
                <w:sz w:val="20"/>
                <w:szCs w:val="20"/>
                <w:color w:val="auto"/>
              </w:rPr>
            </w:pPr>
            <w:r>
              <w:rPr>
                <w:rFonts w:ascii="Arial" w:cs="Arial" w:eastAsia="Arial" w:hAnsi="Arial"/>
                <w:sz w:val="12"/>
                <w:szCs w:val="12"/>
                <w:color w:val="auto"/>
              </w:rPr>
              <w:t>15,125</w:t>
            </w:r>
          </w:p>
        </w:tc>
        <w:tc>
          <w:tcPr>
            <w:tcW w:w="1380" w:type="dxa"/>
            <w:vAlign w:val="bottom"/>
            <w:tcBorders>
              <w:bottom w:val="single" w:sz="8" w:color="auto"/>
            </w:tcBorders>
          </w:tcPr>
          <w:p>
            <w:pPr>
              <w:jc w:val="right"/>
              <w:ind w:right="280"/>
              <w:spacing w:after="0"/>
              <w:rPr>
                <w:sz w:val="20"/>
                <w:szCs w:val="20"/>
                <w:color w:val="auto"/>
              </w:rPr>
            </w:pPr>
            <w:r>
              <w:rPr>
                <w:rFonts w:ascii="Arial" w:cs="Arial" w:eastAsia="Arial" w:hAnsi="Arial"/>
                <w:sz w:val="12"/>
                <w:szCs w:val="12"/>
                <w:color w:val="auto"/>
              </w:rPr>
              <w:t>7,768</w:t>
            </w:r>
          </w:p>
        </w:tc>
        <w:tc>
          <w:tcPr>
            <w:tcW w:w="1600" w:type="dxa"/>
            <w:vAlign w:val="bottom"/>
            <w:tcBorders>
              <w:bottom w:val="single" w:sz="8" w:color="auto"/>
            </w:tcBorders>
          </w:tcPr>
          <w:p>
            <w:pPr>
              <w:jc w:val="right"/>
              <w:ind w:right="480"/>
              <w:spacing w:after="0"/>
              <w:rPr>
                <w:sz w:val="20"/>
                <w:szCs w:val="20"/>
                <w:color w:val="auto"/>
              </w:rPr>
            </w:pPr>
            <w:r>
              <w:rPr>
                <w:rFonts w:ascii="Arial" w:cs="Arial" w:eastAsia="Arial" w:hAnsi="Arial"/>
                <w:sz w:val="12"/>
                <w:szCs w:val="12"/>
                <w:color w:val="auto"/>
              </w:rPr>
              <w:t>27,406</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15,377</w:t>
            </w:r>
          </w:p>
        </w:tc>
      </w:tr>
      <w:tr>
        <w:trPr>
          <w:trHeight w:val="20"/>
        </w:trPr>
        <w:tc>
          <w:tcPr>
            <w:tcW w:w="4640" w:type="dxa"/>
            <w:vAlign w:val="bottom"/>
            <w:tcBorders>
              <w:bottom w:val="single" w:sz="8" w:color="auto"/>
            </w:tcBorders>
          </w:tcPr>
          <w:p>
            <w:pPr>
              <w:spacing w:after="0" w:line="20" w:lineRule="exact"/>
              <w:rPr>
                <w:sz w:val="1"/>
                <w:szCs w:val="1"/>
                <w:color w:val="auto"/>
              </w:rPr>
            </w:pPr>
          </w:p>
        </w:tc>
        <w:tc>
          <w:tcPr>
            <w:tcW w:w="28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2"/>
          <w:szCs w:val="12"/>
          <w:color w:val="auto"/>
        </w:rPr>
        <w:t>The table below reconciles the non-GAAP financial performance measure of Cash Costs to Operating expenses, the most directly comparable U.S. GAAP measure:</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280" w:type="dxa"/>
            <w:vAlign w:val="bottom"/>
            <w:tcBorders>
              <w:top w:val="single" w:sz="8" w:color="auto"/>
              <w:bottom w:val="single" w:sz="8" w:color="auto"/>
            </w:tcBorders>
          </w:tcPr>
          <w:p>
            <w:pPr>
              <w:spacing w:after="0"/>
              <w:rPr>
                <w:sz w:val="14"/>
                <w:szCs w:val="14"/>
                <w:color w:val="auto"/>
              </w:rPr>
            </w:pPr>
          </w:p>
        </w:tc>
        <w:tc>
          <w:tcPr>
            <w:tcW w:w="4540" w:type="dxa"/>
            <w:vAlign w:val="bottom"/>
            <w:tcBorders>
              <w:top w:val="single" w:sz="8" w:color="auto"/>
              <w:bottom w:val="single" w:sz="8" w:color="auto"/>
            </w:tcBorders>
            <w:gridSpan w:val="2"/>
          </w:tcPr>
          <w:p>
            <w:pPr>
              <w:jc w:val="right"/>
              <w:ind w:right="1020"/>
              <w:spacing w:after="0"/>
              <w:rPr>
                <w:sz w:val="20"/>
                <w:szCs w:val="20"/>
                <w:color w:val="auto"/>
              </w:rPr>
            </w:pPr>
            <w:r>
              <w:rPr>
                <w:rFonts w:ascii="Arial" w:cs="Arial" w:eastAsia="Arial" w:hAnsi="Arial"/>
                <w:sz w:val="12"/>
                <w:szCs w:val="12"/>
                <w:color w:val="auto"/>
              </w:rPr>
              <w:t>Three months ended</w:t>
            </w: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Six months ended</w:t>
            </w:r>
          </w:p>
        </w:tc>
        <w:tc>
          <w:tcPr>
            <w:tcW w:w="880" w:type="dxa"/>
            <w:vAlign w:val="bottom"/>
            <w:tcBorders>
              <w:top w:val="single" w:sz="8" w:color="auto"/>
              <w:bottom w:val="single" w:sz="8" w:color="auto"/>
            </w:tcBorders>
          </w:tcPr>
          <w:p>
            <w:pPr>
              <w:spacing w:after="0"/>
              <w:rPr>
                <w:sz w:val="14"/>
                <w:szCs w:val="14"/>
                <w:color w:val="auto"/>
              </w:rPr>
            </w:pPr>
          </w:p>
        </w:tc>
      </w:tr>
      <w:tr>
        <w:trPr>
          <w:trHeight w:val="142"/>
        </w:trPr>
        <w:tc>
          <w:tcPr>
            <w:tcW w:w="4280" w:type="dxa"/>
            <w:vAlign w:val="bottom"/>
            <w:tcBorders>
              <w:bottom w:val="single" w:sz="8" w:color="auto"/>
            </w:tcBorders>
          </w:tcPr>
          <w:p>
            <w:pPr>
              <w:spacing w:after="0"/>
              <w:rPr>
                <w:sz w:val="20"/>
                <w:szCs w:val="20"/>
                <w:color w:val="auto"/>
              </w:rPr>
            </w:pPr>
            <w:r>
              <w:rPr>
                <w:rFonts w:ascii="Arial" w:cs="Arial" w:eastAsia="Arial" w:hAnsi="Arial"/>
                <w:sz w:val="11"/>
                <w:szCs w:val="11"/>
                <w:i w:val="1"/>
                <w:iCs w:val="1"/>
                <w:color w:val="auto"/>
              </w:rPr>
              <w:t>(Thousands of Dollars)</w:t>
            </w:r>
          </w:p>
        </w:tc>
        <w:tc>
          <w:tcPr>
            <w:tcW w:w="3160" w:type="dxa"/>
            <w:vAlign w:val="bottom"/>
            <w:tcBorders>
              <w:bottom w:val="single" w:sz="8" w:color="auto"/>
            </w:tcBorders>
          </w:tcPr>
          <w:p>
            <w:pPr>
              <w:jc w:val="right"/>
              <w:ind w:right="200"/>
              <w:spacing w:after="0"/>
              <w:rPr>
                <w:sz w:val="20"/>
                <w:szCs w:val="20"/>
                <w:color w:val="auto"/>
              </w:rPr>
            </w:pPr>
            <w:r>
              <w:rPr>
                <w:rFonts w:ascii="Arial" w:cs="Arial" w:eastAsia="Arial" w:hAnsi="Arial"/>
                <w:sz w:val="12"/>
                <w:szCs w:val="12"/>
                <w:color w:val="auto"/>
              </w:rPr>
              <w:t>March 29, 2026</w:t>
            </w:r>
          </w:p>
        </w:tc>
        <w:tc>
          <w:tcPr>
            <w:tcW w:w="1380" w:type="dxa"/>
            <w:vAlign w:val="bottom"/>
            <w:tcBorders>
              <w:bottom w:val="single" w:sz="8" w:color="auto"/>
            </w:tcBorders>
          </w:tcPr>
          <w:p>
            <w:pPr>
              <w:jc w:val="right"/>
              <w:ind w:right="220"/>
              <w:spacing w:after="0"/>
              <w:rPr>
                <w:sz w:val="20"/>
                <w:szCs w:val="20"/>
                <w:color w:val="auto"/>
              </w:rPr>
            </w:pPr>
            <w:r>
              <w:rPr>
                <w:rFonts w:ascii="Arial" w:cs="Arial" w:eastAsia="Arial" w:hAnsi="Arial"/>
                <w:sz w:val="12"/>
                <w:szCs w:val="12"/>
                <w:color w:val="auto"/>
              </w:rPr>
              <w:t>March 30, 2025</w:t>
            </w:r>
          </w:p>
        </w:tc>
        <w:tc>
          <w:tcPr>
            <w:tcW w:w="1600" w:type="dxa"/>
            <w:vAlign w:val="bottom"/>
            <w:tcBorders>
              <w:bottom w:val="single" w:sz="8" w:color="auto"/>
            </w:tcBorders>
          </w:tcPr>
          <w:p>
            <w:pPr>
              <w:jc w:val="right"/>
              <w:ind w:right="440"/>
              <w:spacing w:after="0"/>
              <w:rPr>
                <w:sz w:val="20"/>
                <w:szCs w:val="20"/>
                <w:color w:val="auto"/>
              </w:rPr>
            </w:pPr>
            <w:r>
              <w:rPr>
                <w:rFonts w:ascii="Arial" w:cs="Arial" w:eastAsia="Arial" w:hAnsi="Arial"/>
                <w:sz w:val="12"/>
                <w:szCs w:val="12"/>
                <w:color w:val="auto"/>
              </w:rPr>
              <w:t>March 29, 2026</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March 30, 2025</w:t>
            </w:r>
          </w:p>
        </w:tc>
      </w:tr>
      <w:tr>
        <w:trPr>
          <w:trHeight w:val="160"/>
        </w:trPr>
        <w:tc>
          <w:tcPr>
            <w:tcW w:w="4280" w:type="dxa"/>
            <w:vAlign w:val="bottom"/>
          </w:tcPr>
          <w:p>
            <w:pPr>
              <w:spacing w:after="0"/>
              <w:rPr>
                <w:sz w:val="13"/>
                <w:szCs w:val="13"/>
                <w:color w:val="auto"/>
              </w:rPr>
            </w:pPr>
          </w:p>
        </w:tc>
        <w:tc>
          <w:tcPr>
            <w:tcW w:w="316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880" w:type="dxa"/>
            <w:vAlign w:val="bottom"/>
          </w:tcPr>
          <w:p>
            <w:pPr>
              <w:spacing w:after="0"/>
              <w:rPr>
                <w:sz w:val="13"/>
                <w:szCs w:val="13"/>
                <w:color w:val="auto"/>
              </w:rPr>
            </w:pPr>
          </w:p>
        </w:tc>
      </w:tr>
      <w:tr>
        <w:trPr>
          <w:trHeight w:val="153"/>
        </w:trPr>
        <w:tc>
          <w:tcPr>
            <w:tcW w:w="4280" w:type="dxa"/>
            <w:vAlign w:val="bottom"/>
            <w:shd w:val="clear" w:color="auto" w:fill="CCEEFF"/>
          </w:tcPr>
          <w:p>
            <w:pPr>
              <w:spacing w:after="0"/>
              <w:rPr>
                <w:sz w:val="20"/>
                <w:szCs w:val="20"/>
                <w:color w:val="auto"/>
              </w:rPr>
            </w:pPr>
            <w:r>
              <w:rPr>
                <w:rFonts w:ascii="Arial" w:cs="Arial" w:eastAsia="Arial" w:hAnsi="Arial"/>
                <w:sz w:val="12"/>
                <w:szCs w:val="12"/>
                <w:color w:val="auto"/>
              </w:rPr>
              <w:t>Operating expenses</w:t>
            </w:r>
          </w:p>
        </w:tc>
        <w:tc>
          <w:tcPr>
            <w:tcW w:w="3160" w:type="dxa"/>
            <w:vAlign w:val="bottom"/>
            <w:shd w:val="clear" w:color="auto" w:fill="CCEEFF"/>
          </w:tcPr>
          <w:p>
            <w:pPr>
              <w:jc w:val="right"/>
              <w:ind w:right="240"/>
              <w:spacing w:after="0"/>
              <w:rPr>
                <w:sz w:val="20"/>
                <w:szCs w:val="20"/>
                <w:color w:val="auto"/>
              </w:rPr>
            </w:pPr>
            <w:r>
              <w:rPr>
                <w:rFonts w:ascii="Arial" w:cs="Arial" w:eastAsia="Arial" w:hAnsi="Arial"/>
                <w:sz w:val="12"/>
                <w:szCs w:val="12"/>
                <w:color w:val="auto"/>
              </w:rPr>
              <w:t>114,430</w:t>
            </w:r>
          </w:p>
        </w:tc>
        <w:tc>
          <w:tcPr>
            <w:tcW w:w="1380" w:type="dxa"/>
            <w:vAlign w:val="bottom"/>
            <w:shd w:val="clear" w:color="auto" w:fill="CCEEFF"/>
          </w:tcPr>
          <w:p>
            <w:pPr>
              <w:jc w:val="right"/>
              <w:ind w:right="280"/>
              <w:spacing w:after="0"/>
              <w:rPr>
                <w:sz w:val="20"/>
                <w:szCs w:val="20"/>
                <w:color w:val="auto"/>
              </w:rPr>
            </w:pPr>
            <w:r>
              <w:rPr>
                <w:rFonts w:ascii="Arial" w:cs="Arial" w:eastAsia="Arial" w:hAnsi="Arial"/>
                <w:sz w:val="12"/>
                <w:szCs w:val="12"/>
                <w:color w:val="auto"/>
              </w:rPr>
              <w:t>143,038</w:t>
            </w:r>
          </w:p>
        </w:tc>
        <w:tc>
          <w:tcPr>
            <w:tcW w:w="1600" w:type="dxa"/>
            <w:vAlign w:val="bottom"/>
            <w:shd w:val="clear" w:color="auto" w:fill="CCEEFF"/>
          </w:tcPr>
          <w:p>
            <w:pPr>
              <w:jc w:val="right"/>
              <w:ind w:right="480"/>
              <w:spacing w:after="0"/>
              <w:rPr>
                <w:sz w:val="20"/>
                <w:szCs w:val="20"/>
                <w:color w:val="auto"/>
              </w:rPr>
            </w:pPr>
            <w:r>
              <w:rPr>
                <w:rFonts w:ascii="Arial" w:cs="Arial" w:eastAsia="Arial" w:hAnsi="Arial"/>
                <w:sz w:val="12"/>
                <w:szCs w:val="12"/>
                <w:color w:val="auto"/>
              </w:rPr>
              <w:t>240,364</w:t>
            </w: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292,074</w:t>
            </w:r>
          </w:p>
        </w:tc>
      </w:tr>
      <w:tr>
        <w:trPr>
          <w:trHeight w:val="153"/>
        </w:trPr>
        <w:tc>
          <w:tcPr>
            <w:tcW w:w="4280" w:type="dxa"/>
            <w:vAlign w:val="bottom"/>
          </w:tcPr>
          <w:p>
            <w:pPr>
              <w:spacing w:after="0"/>
              <w:rPr>
                <w:sz w:val="20"/>
                <w:szCs w:val="20"/>
                <w:color w:val="auto"/>
              </w:rPr>
            </w:pPr>
            <w:r>
              <w:rPr>
                <w:rFonts w:ascii="Arial" w:cs="Arial" w:eastAsia="Arial" w:hAnsi="Arial"/>
                <w:sz w:val="12"/>
                <w:szCs w:val="12"/>
                <w:color w:val="auto"/>
              </w:rPr>
              <w:t>Adjustments</w:t>
            </w:r>
          </w:p>
        </w:tc>
        <w:tc>
          <w:tcPr>
            <w:tcW w:w="316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880" w:type="dxa"/>
            <w:vAlign w:val="bottom"/>
          </w:tcPr>
          <w:p>
            <w:pPr>
              <w:spacing w:after="0"/>
              <w:rPr>
                <w:sz w:val="13"/>
                <w:szCs w:val="13"/>
                <w:color w:val="auto"/>
              </w:rPr>
            </w:pPr>
          </w:p>
        </w:tc>
      </w:tr>
      <w:tr>
        <w:trPr>
          <w:trHeight w:val="153"/>
        </w:trPr>
        <w:tc>
          <w:tcPr>
            <w:tcW w:w="4280" w:type="dxa"/>
            <w:vAlign w:val="bottom"/>
            <w:shd w:val="clear" w:color="auto" w:fill="CCEEFF"/>
          </w:tcPr>
          <w:p>
            <w:pPr>
              <w:ind w:left="80"/>
              <w:spacing w:after="0"/>
              <w:rPr>
                <w:sz w:val="20"/>
                <w:szCs w:val="20"/>
                <w:color w:val="auto"/>
              </w:rPr>
            </w:pPr>
            <w:r>
              <w:rPr>
                <w:rFonts w:ascii="Arial" w:cs="Arial" w:eastAsia="Arial" w:hAnsi="Arial"/>
                <w:sz w:val="12"/>
                <w:szCs w:val="12"/>
                <w:color w:val="auto"/>
              </w:rPr>
              <w:t>Depreciation and amortization</w:t>
            </w:r>
          </w:p>
        </w:tc>
        <w:tc>
          <w:tcPr>
            <w:tcW w:w="3160" w:type="dxa"/>
            <w:vAlign w:val="bottom"/>
            <w:shd w:val="clear" w:color="auto" w:fill="CCEEFF"/>
          </w:tcPr>
          <w:p>
            <w:pPr>
              <w:jc w:val="right"/>
              <w:ind w:right="240"/>
              <w:spacing w:after="0"/>
              <w:rPr>
                <w:sz w:val="20"/>
                <w:szCs w:val="20"/>
                <w:color w:val="auto"/>
              </w:rPr>
            </w:pPr>
            <w:r>
              <w:rPr>
                <w:rFonts w:ascii="Arial" w:cs="Arial" w:eastAsia="Arial" w:hAnsi="Arial"/>
                <w:sz w:val="12"/>
                <w:szCs w:val="12"/>
                <w:color w:val="auto"/>
              </w:rPr>
              <w:t>3,515</w:t>
            </w:r>
          </w:p>
        </w:tc>
        <w:tc>
          <w:tcPr>
            <w:tcW w:w="1380" w:type="dxa"/>
            <w:vAlign w:val="bottom"/>
            <w:shd w:val="clear" w:color="auto" w:fill="CCEEFF"/>
          </w:tcPr>
          <w:p>
            <w:pPr>
              <w:jc w:val="right"/>
              <w:ind w:right="280"/>
              <w:spacing w:after="0"/>
              <w:rPr>
                <w:sz w:val="20"/>
                <w:szCs w:val="20"/>
                <w:color w:val="auto"/>
              </w:rPr>
            </w:pPr>
            <w:r>
              <w:rPr>
                <w:rFonts w:ascii="Arial" w:cs="Arial" w:eastAsia="Arial" w:hAnsi="Arial"/>
                <w:sz w:val="12"/>
                <w:szCs w:val="12"/>
                <w:color w:val="auto"/>
              </w:rPr>
              <w:t>5,171</w:t>
            </w:r>
          </w:p>
        </w:tc>
        <w:tc>
          <w:tcPr>
            <w:tcW w:w="1600" w:type="dxa"/>
            <w:vAlign w:val="bottom"/>
            <w:shd w:val="clear" w:color="auto" w:fill="CCEEFF"/>
          </w:tcPr>
          <w:p>
            <w:pPr>
              <w:jc w:val="right"/>
              <w:ind w:right="480"/>
              <w:spacing w:after="0"/>
              <w:rPr>
                <w:sz w:val="20"/>
                <w:szCs w:val="20"/>
                <w:color w:val="auto"/>
              </w:rPr>
            </w:pPr>
            <w:r>
              <w:rPr>
                <w:rFonts w:ascii="Arial" w:cs="Arial" w:eastAsia="Arial" w:hAnsi="Arial"/>
                <w:sz w:val="12"/>
                <w:szCs w:val="12"/>
                <w:color w:val="auto"/>
              </w:rPr>
              <w:t>7,094</w:t>
            </w: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11,436</w:t>
            </w:r>
          </w:p>
        </w:tc>
      </w:tr>
      <w:tr>
        <w:trPr>
          <w:trHeight w:val="153"/>
        </w:trPr>
        <w:tc>
          <w:tcPr>
            <w:tcW w:w="4280" w:type="dxa"/>
            <w:vAlign w:val="bottom"/>
          </w:tcPr>
          <w:p>
            <w:pPr>
              <w:ind w:left="80"/>
              <w:spacing w:after="0"/>
              <w:rPr>
                <w:sz w:val="20"/>
                <w:szCs w:val="20"/>
                <w:color w:val="auto"/>
              </w:rPr>
            </w:pPr>
            <w:r>
              <w:rPr>
                <w:rFonts w:ascii="Arial" w:cs="Arial" w:eastAsia="Arial" w:hAnsi="Arial"/>
                <w:sz w:val="12"/>
                <w:szCs w:val="12"/>
                <w:color w:val="auto"/>
              </w:rPr>
              <w:t>(Gain) loss on asset sales, impairments and other, net</w:t>
            </w:r>
          </w:p>
        </w:tc>
        <w:tc>
          <w:tcPr>
            <w:tcW w:w="3160" w:type="dxa"/>
            <w:vAlign w:val="bottom"/>
          </w:tcPr>
          <w:p>
            <w:pPr>
              <w:jc w:val="right"/>
              <w:ind w:right="200"/>
              <w:spacing w:after="0"/>
              <w:rPr>
                <w:sz w:val="20"/>
                <w:szCs w:val="20"/>
                <w:color w:val="auto"/>
              </w:rPr>
            </w:pPr>
            <w:r>
              <w:rPr>
                <w:rFonts w:ascii="Arial" w:cs="Arial" w:eastAsia="Arial" w:hAnsi="Arial"/>
                <w:sz w:val="12"/>
                <w:szCs w:val="12"/>
                <w:color w:val="auto"/>
              </w:rPr>
              <w:t>(900)</w:t>
            </w:r>
          </w:p>
        </w:tc>
        <w:tc>
          <w:tcPr>
            <w:tcW w:w="1380" w:type="dxa"/>
            <w:vAlign w:val="bottom"/>
          </w:tcPr>
          <w:p>
            <w:pPr>
              <w:jc w:val="right"/>
              <w:ind w:right="280"/>
              <w:spacing w:after="0"/>
              <w:rPr>
                <w:sz w:val="20"/>
                <w:szCs w:val="20"/>
                <w:color w:val="auto"/>
              </w:rPr>
            </w:pPr>
            <w:r>
              <w:rPr>
                <w:rFonts w:ascii="Arial" w:cs="Arial" w:eastAsia="Arial" w:hAnsi="Arial"/>
                <w:sz w:val="12"/>
                <w:szCs w:val="12"/>
                <w:color w:val="auto"/>
              </w:rPr>
              <w:t>126</w:t>
            </w:r>
          </w:p>
        </w:tc>
        <w:tc>
          <w:tcPr>
            <w:tcW w:w="1600" w:type="dxa"/>
            <w:vAlign w:val="bottom"/>
          </w:tcPr>
          <w:p>
            <w:pPr>
              <w:jc w:val="right"/>
              <w:ind w:right="440"/>
              <w:spacing w:after="0"/>
              <w:rPr>
                <w:sz w:val="20"/>
                <w:szCs w:val="20"/>
                <w:color w:val="auto"/>
              </w:rPr>
            </w:pPr>
            <w:r>
              <w:rPr>
                <w:rFonts w:ascii="Arial" w:cs="Arial" w:eastAsia="Arial" w:hAnsi="Arial"/>
                <w:sz w:val="12"/>
                <w:szCs w:val="12"/>
                <w:color w:val="auto"/>
              </w:rPr>
              <w:t>(903)</w:t>
            </w:r>
          </w:p>
        </w:tc>
        <w:tc>
          <w:tcPr>
            <w:tcW w:w="880" w:type="dxa"/>
            <w:vAlign w:val="bottom"/>
          </w:tcPr>
          <w:p>
            <w:pPr>
              <w:jc w:val="right"/>
              <w:spacing w:after="0"/>
              <w:rPr>
                <w:sz w:val="20"/>
                <w:szCs w:val="20"/>
                <w:color w:val="auto"/>
              </w:rPr>
            </w:pPr>
            <w:r>
              <w:rPr>
                <w:rFonts w:ascii="Arial" w:cs="Arial" w:eastAsia="Arial" w:hAnsi="Arial"/>
                <w:sz w:val="12"/>
                <w:szCs w:val="12"/>
                <w:color w:val="auto"/>
              </w:rPr>
              <w:t>(803)</w:t>
            </w:r>
          </w:p>
        </w:tc>
      </w:tr>
      <w:tr>
        <w:trPr>
          <w:trHeight w:val="153"/>
        </w:trPr>
        <w:tc>
          <w:tcPr>
            <w:tcW w:w="4280" w:type="dxa"/>
            <w:vAlign w:val="bottom"/>
            <w:shd w:val="clear" w:color="auto" w:fill="CCEEFF"/>
          </w:tcPr>
          <w:p>
            <w:pPr>
              <w:ind w:left="80"/>
              <w:spacing w:after="0"/>
              <w:rPr>
                <w:sz w:val="20"/>
                <w:szCs w:val="20"/>
                <w:color w:val="auto"/>
              </w:rPr>
            </w:pPr>
            <w:r>
              <w:rPr>
                <w:rFonts w:ascii="Arial" w:cs="Arial" w:eastAsia="Arial" w:hAnsi="Arial"/>
                <w:sz w:val="12"/>
                <w:szCs w:val="12"/>
                <w:color w:val="auto"/>
              </w:rPr>
              <w:t>Restructuring costs and other</w:t>
            </w:r>
          </w:p>
        </w:tc>
        <w:tc>
          <w:tcPr>
            <w:tcW w:w="3160" w:type="dxa"/>
            <w:vAlign w:val="bottom"/>
            <w:shd w:val="clear" w:color="auto" w:fill="CCEEFF"/>
          </w:tcPr>
          <w:p>
            <w:pPr>
              <w:jc w:val="right"/>
              <w:ind w:right="240"/>
              <w:spacing w:after="0"/>
              <w:rPr>
                <w:sz w:val="20"/>
                <w:szCs w:val="20"/>
                <w:color w:val="auto"/>
              </w:rPr>
            </w:pPr>
            <w:r>
              <w:rPr>
                <w:rFonts w:ascii="Arial" w:cs="Arial" w:eastAsia="Arial" w:hAnsi="Arial"/>
                <w:sz w:val="12"/>
                <w:szCs w:val="12"/>
                <w:color w:val="auto"/>
              </w:rPr>
              <w:t>3,640</w:t>
            </w:r>
          </w:p>
        </w:tc>
        <w:tc>
          <w:tcPr>
            <w:tcW w:w="1380" w:type="dxa"/>
            <w:vAlign w:val="bottom"/>
            <w:shd w:val="clear" w:color="auto" w:fill="CCEEFF"/>
          </w:tcPr>
          <w:p>
            <w:pPr>
              <w:jc w:val="right"/>
              <w:ind w:right="280"/>
              <w:spacing w:after="0"/>
              <w:rPr>
                <w:sz w:val="20"/>
                <w:szCs w:val="20"/>
                <w:color w:val="auto"/>
              </w:rPr>
            </w:pPr>
            <w:r>
              <w:rPr>
                <w:rFonts w:ascii="Arial" w:cs="Arial" w:eastAsia="Arial" w:hAnsi="Arial"/>
                <w:sz w:val="12"/>
                <w:szCs w:val="12"/>
                <w:color w:val="auto"/>
              </w:rPr>
              <w:t>6,516</w:t>
            </w:r>
          </w:p>
        </w:tc>
        <w:tc>
          <w:tcPr>
            <w:tcW w:w="1600" w:type="dxa"/>
            <w:vAlign w:val="bottom"/>
            <w:shd w:val="clear" w:color="auto" w:fill="CCEEFF"/>
          </w:tcPr>
          <w:p>
            <w:pPr>
              <w:jc w:val="right"/>
              <w:ind w:right="480"/>
              <w:spacing w:after="0"/>
              <w:rPr>
                <w:sz w:val="20"/>
                <w:szCs w:val="20"/>
                <w:color w:val="auto"/>
              </w:rPr>
            </w:pPr>
            <w:r>
              <w:rPr>
                <w:rFonts w:ascii="Arial" w:cs="Arial" w:eastAsia="Arial" w:hAnsi="Arial"/>
                <w:sz w:val="12"/>
                <w:szCs w:val="12"/>
                <w:color w:val="auto"/>
              </w:rPr>
              <w:t>6,788</w:t>
            </w: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11,666</w:t>
            </w:r>
          </w:p>
        </w:tc>
      </w:tr>
      <w:tr>
        <w:trPr>
          <w:trHeight w:val="153"/>
        </w:trPr>
        <w:tc>
          <w:tcPr>
            <w:tcW w:w="4280" w:type="dxa"/>
            <w:vAlign w:val="bottom"/>
            <w:tcBorders>
              <w:bottom w:val="single" w:sz="8" w:color="auto"/>
            </w:tcBorders>
          </w:tcPr>
          <w:p>
            <w:pPr>
              <w:ind w:left="80"/>
              <w:spacing w:after="0"/>
              <w:rPr>
                <w:sz w:val="20"/>
                <w:szCs w:val="20"/>
                <w:color w:val="auto"/>
              </w:rPr>
            </w:pPr>
            <w:r>
              <w:rPr>
                <w:rFonts w:ascii="Arial" w:cs="Arial" w:eastAsia="Arial" w:hAnsi="Arial"/>
                <w:sz w:val="12"/>
                <w:szCs w:val="12"/>
                <w:color w:val="auto"/>
              </w:rPr>
              <w:t>Insurance proceeds</w:t>
            </w:r>
          </w:p>
        </w:tc>
        <w:tc>
          <w:tcPr>
            <w:tcW w:w="3160" w:type="dxa"/>
            <w:vAlign w:val="bottom"/>
            <w:tcBorders>
              <w:bottom w:val="single" w:sz="8" w:color="auto"/>
            </w:tcBorders>
          </w:tcPr>
          <w:p>
            <w:pPr>
              <w:jc w:val="right"/>
              <w:ind w:right="200"/>
              <w:spacing w:after="0"/>
              <w:rPr>
                <w:sz w:val="20"/>
                <w:szCs w:val="20"/>
                <w:color w:val="auto"/>
              </w:rPr>
            </w:pPr>
            <w:r>
              <w:rPr>
                <w:rFonts w:ascii="Arial" w:cs="Arial" w:eastAsia="Arial" w:hAnsi="Arial"/>
                <w:sz w:val="12"/>
                <w:szCs w:val="12"/>
                <w:color w:val="auto"/>
              </w:rPr>
              <w:t>(3,840)</w:t>
            </w:r>
          </w:p>
        </w:tc>
        <w:tc>
          <w:tcPr>
            <w:tcW w:w="1380" w:type="dxa"/>
            <w:vAlign w:val="bottom"/>
            <w:tcBorders>
              <w:bottom w:val="single" w:sz="8" w:color="auto"/>
            </w:tcBorders>
          </w:tcPr>
          <w:p>
            <w:pPr>
              <w:jc w:val="right"/>
              <w:ind w:right="280"/>
              <w:spacing w:after="0"/>
              <w:rPr>
                <w:sz w:val="20"/>
                <w:szCs w:val="20"/>
                <w:color w:val="auto"/>
              </w:rPr>
            </w:pPr>
            <w:r>
              <w:rPr>
                <w:rFonts w:ascii="Arial" w:cs="Arial" w:eastAsia="Arial" w:hAnsi="Arial"/>
                <w:sz w:val="12"/>
                <w:szCs w:val="12"/>
                <w:color w:val="auto"/>
              </w:rPr>
              <w:t>—</w:t>
            </w:r>
          </w:p>
        </w:tc>
        <w:tc>
          <w:tcPr>
            <w:tcW w:w="1600" w:type="dxa"/>
            <w:vAlign w:val="bottom"/>
            <w:tcBorders>
              <w:bottom w:val="single" w:sz="8" w:color="auto"/>
            </w:tcBorders>
          </w:tcPr>
          <w:p>
            <w:pPr>
              <w:jc w:val="right"/>
              <w:ind w:right="440"/>
              <w:spacing w:after="0"/>
              <w:rPr>
                <w:sz w:val="20"/>
                <w:szCs w:val="20"/>
                <w:color w:val="auto"/>
              </w:rPr>
            </w:pPr>
            <w:r>
              <w:rPr>
                <w:rFonts w:ascii="Arial" w:cs="Arial" w:eastAsia="Arial" w:hAnsi="Arial"/>
                <w:sz w:val="12"/>
                <w:szCs w:val="12"/>
                <w:color w:val="auto"/>
              </w:rPr>
              <w:t>(5,840)</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r>
      <w:tr>
        <w:trPr>
          <w:trHeight w:val="158"/>
        </w:trPr>
        <w:tc>
          <w:tcPr>
            <w:tcW w:w="42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2"/>
                <w:szCs w:val="12"/>
                <w:color w:val="auto"/>
              </w:rPr>
              <w:t>Cash Costs</w:t>
            </w:r>
          </w:p>
        </w:tc>
        <w:tc>
          <w:tcPr>
            <w:tcW w:w="3160" w:type="dxa"/>
            <w:vAlign w:val="bottom"/>
            <w:tcBorders>
              <w:bottom w:val="single" w:sz="8" w:color="auto"/>
            </w:tcBorders>
            <w:shd w:val="clear" w:color="auto" w:fill="CCEEFF"/>
          </w:tcPr>
          <w:p>
            <w:pPr>
              <w:jc w:val="right"/>
              <w:ind w:right="240"/>
              <w:spacing w:after="0"/>
              <w:rPr>
                <w:sz w:val="20"/>
                <w:szCs w:val="20"/>
                <w:color w:val="auto"/>
              </w:rPr>
            </w:pPr>
            <w:r>
              <w:rPr>
                <w:rFonts w:ascii="Arial" w:cs="Arial" w:eastAsia="Arial" w:hAnsi="Arial"/>
                <w:sz w:val="12"/>
                <w:szCs w:val="12"/>
                <w:color w:val="auto"/>
              </w:rPr>
              <w:t>112,015</w:t>
            </w:r>
          </w:p>
        </w:tc>
        <w:tc>
          <w:tcPr>
            <w:tcW w:w="1380" w:type="dxa"/>
            <w:vAlign w:val="bottom"/>
            <w:tcBorders>
              <w:bottom w:val="single" w:sz="8" w:color="auto"/>
            </w:tcBorders>
            <w:shd w:val="clear" w:color="auto" w:fill="CCEEFF"/>
          </w:tcPr>
          <w:p>
            <w:pPr>
              <w:jc w:val="right"/>
              <w:ind w:right="280"/>
              <w:spacing w:after="0"/>
              <w:rPr>
                <w:sz w:val="20"/>
                <w:szCs w:val="20"/>
                <w:color w:val="auto"/>
              </w:rPr>
            </w:pPr>
            <w:r>
              <w:rPr>
                <w:rFonts w:ascii="Arial" w:cs="Arial" w:eastAsia="Arial" w:hAnsi="Arial"/>
                <w:sz w:val="12"/>
                <w:szCs w:val="12"/>
                <w:color w:val="auto"/>
              </w:rPr>
              <w:t>131,225</w:t>
            </w:r>
          </w:p>
        </w:tc>
        <w:tc>
          <w:tcPr>
            <w:tcW w:w="1600" w:type="dxa"/>
            <w:vAlign w:val="bottom"/>
            <w:tcBorders>
              <w:bottom w:val="single" w:sz="8" w:color="auto"/>
            </w:tcBorders>
            <w:shd w:val="clear" w:color="auto" w:fill="CCEEFF"/>
          </w:tcPr>
          <w:p>
            <w:pPr>
              <w:jc w:val="right"/>
              <w:ind w:right="480"/>
              <w:spacing w:after="0"/>
              <w:rPr>
                <w:sz w:val="20"/>
                <w:szCs w:val="20"/>
                <w:color w:val="auto"/>
              </w:rPr>
            </w:pPr>
            <w:r>
              <w:rPr>
                <w:rFonts w:ascii="Arial" w:cs="Arial" w:eastAsia="Arial" w:hAnsi="Arial"/>
                <w:sz w:val="12"/>
                <w:szCs w:val="12"/>
                <w:color w:val="auto"/>
              </w:rPr>
              <w:t>233,225</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269,775</w:t>
            </w:r>
          </w:p>
        </w:tc>
      </w:tr>
      <w:tr>
        <w:trPr>
          <w:trHeight w:val="603"/>
        </w:trPr>
        <w:tc>
          <w:tcPr>
            <w:tcW w:w="4280" w:type="dxa"/>
            <w:vAlign w:val="bottom"/>
          </w:tcPr>
          <w:p>
            <w:pPr>
              <w:spacing w:after="0"/>
              <w:rPr>
                <w:sz w:val="24"/>
                <w:szCs w:val="24"/>
                <w:color w:val="auto"/>
              </w:rPr>
            </w:pPr>
          </w:p>
        </w:tc>
        <w:tc>
          <w:tcPr>
            <w:tcW w:w="3160" w:type="dxa"/>
            <w:vAlign w:val="bottom"/>
          </w:tcPr>
          <w:p>
            <w:pPr>
              <w:jc w:val="right"/>
              <w:ind w:right="1700"/>
              <w:spacing w:after="0"/>
              <w:rPr>
                <w:sz w:val="20"/>
                <w:szCs w:val="20"/>
                <w:color w:val="auto"/>
              </w:rPr>
            </w:pPr>
            <w:r>
              <w:rPr>
                <w:rFonts w:ascii="Times New Roman" w:cs="Times New Roman" w:eastAsia="Times New Roman" w:hAnsi="Times New Roman"/>
                <w:sz w:val="12"/>
                <w:szCs w:val="12"/>
                <w:color w:val="auto"/>
              </w:rPr>
              <w:t>6</w:t>
            </w:r>
          </w:p>
        </w:tc>
        <w:tc>
          <w:tcPr>
            <w:tcW w:w="13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880" w:type="dxa"/>
            <w:vAlign w:val="bottom"/>
          </w:tcPr>
          <w:p>
            <w:pPr>
              <w:spacing w:after="0"/>
              <w:rPr>
                <w:sz w:val="24"/>
                <w:szCs w:val="24"/>
                <w:color w:val="auto"/>
              </w:rPr>
            </w:pPr>
          </w:p>
        </w:tc>
      </w:tr>
    </w:tbl>
    <w:p>
      <w:pPr>
        <w:sectPr>
          <w:pgSz w:w="11900" w:h="16838" w:orient="portrait"/>
          <w:cols w:equalWidth="0" w:num="1">
            <w:col w:w="11300"/>
          </w:cols>
          <w:pgMar w:left="300" w:top="784" w:right="299" w:bottom="1440" w:gutter="0" w:footer="0" w:header="0"/>
        </w:sectPr>
      </w:pPr>
    </w:p>
    <w:bookmarkStart w:id="9" w:name="page10"/>
    <w:bookmarkEnd w:id="9"/>
    <w:p>
      <w:pPr>
        <w:spacing w:after="0"/>
        <w:rPr>
          <w:sz w:val="20"/>
          <w:szCs w:val="20"/>
          <w:color w:val="auto"/>
        </w:rPr>
      </w:pPr>
      <w:r>
        <w:rPr>
          <w:rFonts w:ascii="Arial" w:cs="Arial" w:eastAsia="Arial" w:hAnsi="Arial"/>
          <w:sz w:val="12"/>
          <w:szCs w:val="12"/>
          <w:color w:val="auto"/>
        </w:rPr>
        <w:t>The table below reconciles the non-GAAP financial performance measure of Same-store Revenues to Operating Revenues, its most directly comparable U.S. GAAP measure:</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440" w:type="dxa"/>
            <w:vAlign w:val="bottom"/>
            <w:tcBorders>
              <w:top w:val="single" w:sz="8" w:color="auto"/>
              <w:bottom w:val="single" w:sz="8" w:color="auto"/>
            </w:tcBorders>
          </w:tcPr>
          <w:p>
            <w:pPr>
              <w:spacing w:after="0"/>
              <w:rPr>
                <w:sz w:val="14"/>
                <w:szCs w:val="14"/>
                <w:color w:val="auto"/>
              </w:rPr>
            </w:pPr>
          </w:p>
        </w:tc>
        <w:tc>
          <w:tcPr>
            <w:tcW w:w="3440" w:type="dxa"/>
            <w:vAlign w:val="bottom"/>
            <w:tcBorders>
              <w:top w:val="single" w:sz="8" w:color="auto"/>
              <w:bottom w:val="single" w:sz="8" w:color="auto"/>
            </w:tcBorders>
          </w:tcPr>
          <w:p>
            <w:pPr>
              <w:jc w:val="right"/>
              <w:ind w:right="80"/>
              <w:spacing w:after="0"/>
              <w:rPr>
                <w:sz w:val="20"/>
                <w:szCs w:val="20"/>
                <w:color w:val="auto"/>
              </w:rPr>
            </w:pPr>
            <w:r>
              <w:rPr>
                <w:rFonts w:ascii="Arial" w:cs="Arial" w:eastAsia="Arial" w:hAnsi="Arial"/>
                <w:sz w:val="12"/>
                <w:szCs w:val="12"/>
                <w:color w:val="auto"/>
              </w:rPr>
              <w:t>Three months ended</w:t>
            </w:r>
          </w:p>
        </w:tc>
        <w:tc>
          <w:tcPr>
            <w:tcW w:w="1080" w:type="dxa"/>
            <w:vAlign w:val="bottom"/>
            <w:tcBorders>
              <w:top w:val="single" w:sz="8" w:color="auto"/>
              <w:bottom w:val="single" w:sz="8" w:color="auto"/>
            </w:tcBorders>
          </w:tcPr>
          <w:p>
            <w:pPr>
              <w:spacing w:after="0"/>
              <w:rPr>
                <w:sz w:val="14"/>
                <w:szCs w:val="14"/>
                <w:color w:val="auto"/>
              </w:rPr>
            </w:pPr>
          </w:p>
        </w:tc>
        <w:tc>
          <w:tcPr>
            <w:tcW w:w="1620" w:type="dxa"/>
            <w:vAlign w:val="bottom"/>
            <w:tcBorders>
              <w:top w:val="single" w:sz="8" w:color="auto"/>
              <w:bottom w:val="single" w:sz="8" w:color="auto"/>
            </w:tcBorders>
          </w:tcPr>
          <w:p>
            <w:pPr>
              <w:jc w:val="right"/>
              <w:ind w:right="120"/>
              <w:spacing w:after="0"/>
              <w:rPr>
                <w:sz w:val="20"/>
                <w:szCs w:val="20"/>
                <w:color w:val="auto"/>
              </w:rPr>
            </w:pPr>
            <w:r>
              <w:rPr>
                <w:rFonts w:ascii="Arial" w:cs="Arial" w:eastAsia="Arial" w:hAnsi="Arial"/>
                <w:sz w:val="12"/>
                <w:szCs w:val="12"/>
                <w:color w:val="auto"/>
              </w:rPr>
              <w:t>Six months ended</w:t>
            </w:r>
          </w:p>
        </w:tc>
        <w:tc>
          <w:tcPr>
            <w:tcW w:w="720" w:type="dxa"/>
            <w:vAlign w:val="bottom"/>
            <w:tcBorders>
              <w:top w:val="single" w:sz="8" w:color="auto"/>
              <w:bottom w:val="single" w:sz="8" w:color="auto"/>
            </w:tcBorders>
          </w:tcPr>
          <w:p>
            <w:pPr>
              <w:spacing w:after="0"/>
              <w:rPr>
                <w:sz w:val="14"/>
                <w:szCs w:val="14"/>
                <w:color w:val="auto"/>
              </w:rPr>
            </w:pPr>
          </w:p>
        </w:tc>
      </w:tr>
      <w:tr>
        <w:trPr>
          <w:trHeight w:val="106"/>
        </w:trPr>
        <w:tc>
          <w:tcPr>
            <w:tcW w:w="4440" w:type="dxa"/>
            <w:vAlign w:val="bottom"/>
          </w:tcPr>
          <w:p>
            <w:pPr>
              <w:spacing w:after="0"/>
              <w:rPr>
                <w:sz w:val="9"/>
                <w:szCs w:val="9"/>
                <w:color w:val="auto"/>
              </w:rPr>
            </w:pPr>
          </w:p>
        </w:tc>
        <w:tc>
          <w:tcPr>
            <w:tcW w:w="3440" w:type="dxa"/>
            <w:vAlign w:val="bottom"/>
          </w:tcPr>
          <w:p>
            <w:pPr>
              <w:jc w:val="right"/>
              <w:ind w:right="640"/>
              <w:spacing w:after="0" w:line="106" w:lineRule="exact"/>
              <w:rPr>
                <w:sz w:val="20"/>
                <w:szCs w:val="20"/>
                <w:color w:val="auto"/>
              </w:rPr>
            </w:pPr>
            <w:r>
              <w:rPr>
                <w:rFonts w:ascii="Arial" w:cs="Arial" w:eastAsia="Arial" w:hAnsi="Arial"/>
                <w:sz w:val="12"/>
                <w:szCs w:val="12"/>
                <w:color w:val="auto"/>
              </w:rPr>
              <w:t>March 29,</w:t>
            </w:r>
          </w:p>
        </w:tc>
        <w:tc>
          <w:tcPr>
            <w:tcW w:w="1080" w:type="dxa"/>
            <w:vAlign w:val="bottom"/>
          </w:tcPr>
          <w:p>
            <w:pPr>
              <w:jc w:val="right"/>
              <w:ind w:right="360"/>
              <w:spacing w:after="0" w:line="106" w:lineRule="exact"/>
              <w:rPr>
                <w:sz w:val="20"/>
                <w:szCs w:val="20"/>
                <w:color w:val="auto"/>
              </w:rPr>
            </w:pPr>
            <w:r>
              <w:rPr>
                <w:rFonts w:ascii="Arial" w:cs="Arial" w:eastAsia="Arial" w:hAnsi="Arial"/>
                <w:sz w:val="12"/>
                <w:szCs w:val="12"/>
                <w:color w:val="auto"/>
              </w:rPr>
              <w:t>March 30,</w:t>
            </w:r>
          </w:p>
        </w:tc>
        <w:tc>
          <w:tcPr>
            <w:tcW w:w="1620" w:type="dxa"/>
            <w:vAlign w:val="bottom"/>
          </w:tcPr>
          <w:p>
            <w:pPr>
              <w:jc w:val="right"/>
              <w:ind w:right="600"/>
              <w:spacing w:after="0" w:line="106" w:lineRule="exact"/>
              <w:rPr>
                <w:sz w:val="20"/>
                <w:szCs w:val="20"/>
                <w:color w:val="auto"/>
              </w:rPr>
            </w:pPr>
            <w:r>
              <w:rPr>
                <w:rFonts w:ascii="Arial" w:cs="Arial" w:eastAsia="Arial" w:hAnsi="Arial"/>
                <w:sz w:val="12"/>
                <w:szCs w:val="12"/>
                <w:color w:val="auto"/>
              </w:rPr>
              <w:t>March 29,</w:t>
            </w:r>
          </w:p>
        </w:tc>
        <w:tc>
          <w:tcPr>
            <w:tcW w:w="720" w:type="dxa"/>
            <w:vAlign w:val="bottom"/>
          </w:tcPr>
          <w:p>
            <w:pPr>
              <w:jc w:val="right"/>
              <w:spacing w:after="0" w:line="106" w:lineRule="exact"/>
              <w:rPr>
                <w:sz w:val="20"/>
                <w:szCs w:val="20"/>
                <w:color w:val="auto"/>
              </w:rPr>
            </w:pPr>
            <w:r>
              <w:rPr>
                <w:rFonts w:ascii="Arial" w:cs="Arial" w:eastAsia="Arial" w:hAnsi="Arial"/>
                <w:sz w:val="12"/>
                <w:szCs w:val="12"/>
                <w:color w:val="auto"/>
              </w:rPr>
              <w:t>March 30,</w:t>
            </w:r>
          </w:p>
        </w:tc>
      </w:tr>
      <w:tr>
        <w:trPr>
          <w:trHeight w:val="162"/>
        </w:trPr>
        <w:tc>
          <w:tcPr>
            <w:tcW w:w="4440" w:type="dxa"/>
            <w:vAlign w:val="bottom"/>
            <w:tcBorders>
              <w:bottom w:val="single" w:sz="8" w:color="auto"/>
            </w:tcBorders>
          </w:tcPr>
          <w:p>
            <w:pPr>
              <w:spacing w:after="0"/>
              <w:rPr>
                <w:sz w:val="20"/>
                <w:szCs w:val="20"/>
                <w:color w:val="auto"/>
              </w:rPr>
            </w:pPr>
            <w:r>
              <w:rPr>
                <w:rFonts w:ascii="Arial" w:cs="Arial" w:eastAsia="Arial" w:hAnsi="Arial"/>
                <w:sz w:val="12"/>
                <w:szCs w:val="12"/>
                <w:i w:val="1"/>
                <w:iCs w:val="1"/>
                <w:color w:val="auto"/>
              </w:rPr>
              <w:t>(Thousands of Dollars)</w:t>
            </w:r>
          </w:p>
        </w:tc>
        <w:tc>
          <w:tcPr>
            <w:tcW w:w="3440" w:type="dxa"/>
            <w:vAlign w:val="bottom"/>
            <w:tcBorders>
              <w:bottom w:val="single" w:sz="8" w:color="auto"/>
            </w:tcBorders>
          </w:tcPr>
          <w:p>
            <w:pPr>
              <w:jc w:val="right"/>
              <w:ind w:right="640"/>
              <w:spacing w:after="0"/>
              <w:rPr>
                <w:sz w:val="20"/>
                <w:szCs w:val="20"/>
                <w:color w:val="auto"/>
              </w:rPr>
            </w:pPr>
            <w:r>
              <w:rPr>
                <w:rFonts w:ascii="Arial" w:cs="Arial" w:eastAsia="Arial" w:hAnsi="Arial"/>
                <w:sz w:val="12"/>
                <w:szCs w:val="12"/>
                <w:color w:val="auto"/>
              </w:rPr>
              <w:t>2026</w:t>
            </w:r>
          </w:p>
        </w:tc>
        <w:tc>
          <w:tcPr>
            <w:tcW w:w="1080" w:type="dxa"/>
            <w:vAlign w:val="bottom"/>
            <w:tcBorders>
              <w:bottom w:val="single" w:sz="8" w:color="auto"/>
            </w:tcBorders>
          </w:tcPr>
          <w:p>
            <w:pPr>
              <w:jc w:val="right"/>
              <w:ind w:right="360"/>
              <w:spacing w:after="0"/>
              <w:rPr>
                <w:sz w:val="20"/>
                <w:szCs w:val="20"/>
                <w:color w:val="auto"/>
              </w:rPr>
            </w:pPr>
            <w:r>
              <w:rPr>
                <w:rFonts w:ascii="Arial" w:cs="Arial" w:eastAsia="Arial" w:hAnsi="Arial"/>
                <w:sz w:val="12"/>
                <w:szCs w:val="12"/>
                <w:color w:val="auto"/>
              </w:rPr>
              <w:t>2025</w:t>
            </w:r>
          </w:p>
        </w:tc>
        <w:tc>
          <w:tcPr>
            <w:tcW w:w="1620" w:type="dxa"/>
            <w:vAlign w:val="bottom"/>
            <w:tcBorders>
              <w:bottom w:val="single" w:sz="8" w:color="auto"/>
            </w:tcBorders>
          </w:tcPr>
          <w:p>
            <w:pPr>
              <w:jc w:val="right"/>
              <w:ind w:right="600"/>
              <w:spacing w:after="0"/>
              <w:rPr>
                <w:sz w:val="20"/>
                <w:szCs w:val="20"/>
                <w:color w:val="auto"/>
              </w:rPr>
            </w:pPr>
            <w:r>
              <w:rPr>
                <w:rFonts w:ascii="Arial" w:cs="Arial" w:eastAsia="Arial" w:hAnsi="Arial"/>
                <w:sz w:val="12"/>
                <w:szCs w:val="12"/>
                <w:color w:val="auto"/>
              </w:rPr>
              <w:t>2026</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2025</w:t>
            </w:r>
          </w:p>
        </w:tc>
      </w:tr>
      <w:tr>
        <w:trPr>
          <w:trHeight w:val="160"/>
        </w:trPr>
        <w:tc>
          <w:tcPr>
            <w:tcW w:w="4440" w:type="dxa"/>
            <w:vAlign w:val="bottom"/>
            <w:shd w:val="clear" w:color="auto" w:fill="CCEEFF"/>
          </w:tcPr>
          <w:p>
            <w:pPr>
              <w:spacing w:after="0"/>
              <w:rPr>
                <w:sz w:val="13"/>
                <w:szCs w:val="13"/>
                <w:color w:val="auto"/>
              </w:rPr>
            </w:pPr>
          </w:p>
        </w:tc>
        <w:tc>
          <w:tcPr>
            <w:tcW w:w="344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6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r>
      <w:tr>
        <w:trPr>
          <w:trHeight w:val="153"/>
        </w:trPr>
        <w:tc>
          <w:tcPr>
            <w:tcW w:w="4440" w:type="dxa"/>
            <w:vAlign w:val="bottom"/>
          </w:tcPr>
          <w:p>
            <w:pPr>
              <w:spacing w:after="0"/>
              <w:rPr>
                <w:sz w:val="20"/>
                <w:szCs w:val="20"/>
                <w:color w:val="auto"/>
              </w:rPr>
            </w:pPr>
            <w:r>
              <w:rPr>
                <w:rFonts w:ascii="Arial" w:cs="Arial" w:eastAsia="Arial" w:hAnsi="Arial"/>
                <w:sz w:val="12"/>
                <w:szCs w:val="12"/>
                <w:color w:val="auto"/>
              </w:rPr>
              <w:t>Print Advertising Revenue</w:t>
            </w:r>
          </w:p>
        </w:tc>
        <w:tc>
          <w:tcPr>
            <w:tcW w:w="3440" w:type="dxa"/>
            <w:vAlign w:val="bottom"/>
          </w:tcPr>
          <w:p>
            <w:pPr>
              <w:jc w:val="right"/>
              <w:ind w:right="680"/>
              <w:spacing w:after="0"/>
              <w:rPr>
                <w:sz w:val="20"/>
                <w:szCs w:val="20"/>
                <w:color w:val="auto"/>
              </w:rPr>
            </w:pPr>
            <w:r>
              <w:rPr>
                <w:rFonts w:ascii="Arial" w:cs="Arial" w:eastAsia="Arial" w:hAnsi="Arial"/>
                <w:sz w:val="12"/>
                <w:szCs w:val="12"/>
                <w:color w:val="auto"/>
              </w:rPr>
              <w:t>14,274</w:t>
            </w:r>
          </w:p>
        </w:tc>
        <w:tc>
          <w:tcPr>
            <w:tcW w:w="1080" w:type="dxa"/>
            <w:vAlign w:val="bottom"/>
          </w:tcPr>
          <w:p>
            <w:pPr>
              <w:jc w:val="right"/>
              <w:ind w:right="400"/>
              <w:spacing w:after="0"/>
              <w:rPr>
                <w:sz w:val="20"/>
                <w:szCs w:val="20"/>
                <w:color w:val="auto"/>
              </w:rPr>
            </w:pPr>
            <w:r>
              <w:rPr>
                <w:rFonts w:ascii="Arial" w:cs="Arial" w:eastAsia="Arial" w:hAnsi="Arial"/>
                <w:sz w:val="12"/>
                <w:szCs w:val="12"/>
                <w:color w:val="auto"/>
              </w:rPr>
              <w:t>16,532</w:t>
            </w:r>
          </w:p>
        </w:tc>
        <w:tc>
          <w:tcPr>
            <w:tcW w:w="1620" w:type="dxa"/>
            <w:vAlign w:val="bottom"/>
          </w:tcPr>
          <w:p>
            <w:pPr>
              <w:jc w:val="right"/>
              <w:ind w:right="640"/>
              <w:spacing w:after="0"/>
              <w:rPr>
                <w:sz w:val="20"/>
                <w:szCs w:val="20"/>
                <w:color w:val="auto"/>
              </w:rPr>
            </w:pPr>
            <w:r>
              <w:rPr>
                <w:rFonts w:ascii="Arial" w:cs="Arial" w:eastAsia="Arial" w:hAnsi="Arial"/>
                <w:sz w:val="12"/>
                <w:szCs w:val="12"/>
                <w:color w:val="auto"/>
              </w:rPr>
              <w:t>31,465</w:t>
            </w:r>
          </w:p>
        </w:tc>
        <w:tc>
          <w:tcPr>
            <w:tcW w:w="720" w:type="dxa"/>
            <w:vAlign w:val="bottom"/>
          </w:tcPr>
          <w:p>
            <w:pPr>
              <w:jc w:val="right"/>
              <w:spacing w:after="0"/>
              <w:rPr>
                <w:sz w:val="20"/>
                <w:szCs w:val="20"/>
                <w:color w:val="auto"/>
              </w:rPr>
            </w:pPr>
            <w:r>
              <w:rPr>
                <w:rFonts w:ascii="Arial" w:cs="Arial" w:eastAsia="Arial" w:hAnsi="Arial"/>
                <w:sz w:val="12"/>
                <w:szCs w:val="12"/>
                <w:color w:val="auto"/>
              </w:rPr>
              <w:t>36,393</w:t>
            </w:r>
          </w:p>
        </w:tc>
      </w:tr>
      <w:tr>
        <w:trPr>
          <w:trHeight w:val="153"/>
        </w:trPr>
        <w:tc>
          <w:tcPr>
            <w:tcW w:w="4440" w:type="dxa"/>
            <w:vAlign w:val="bottom"/>
            <w:shd w:val="clear" w:color="auto" w:fill="CCEEFF"/>
          </w:tcPr>
          <w:p>
            <w:pPr>
              <w:spacing w:after="0"/>
              <w:rPr>
                <w:sz w:val="20"/>
                <w:szCs w:val="20"/>
                <w:color w:val="auto"/>
              </w:rPr>
            </w:pPr>
            <w:r>
              <w:rPr>
                <w:rFonts w:ascii="Arial" w:cs="Arial" w:eastAsia="Arial" w:hAnsi="Arial"/>
                <w:sz w:val="12"/>
                <w:szCs w:val="12"/>
                <w:color w:val="auto"/>
              </w:rPr>
              <w:t>Exited operations</w:t>
            </w:r>
          </w:p>
        </w:tc>
        <w:tc>
          <w:tcPr>
            <w:tcW w:w="3440" w:type="dxa"/>
            <w:vAlign w:val="bottom"/>
            <w:shd w:val="clear" w:color="auto" w:fill="CCEEFF"/>
          </w:tcPr>
          <w:p>
            <w:pPr>
              <w:jc w:val="right"/>
              <w:ind w:right="640"/>
              <w:spacing w:after="0"/>
              <w:rPr>
                <w:sz w:val="20"/>
                <w:szCs w:val="20"/>
                <w:color w:val="auto"/>
              </w:rPr>
            </w:pPr>
            <w:r>
              <w:rPr>
                <w:rFonts w:ascii="Arial" w:cs="Arial" w:eastAsia="Arial" w:hAnsi="Arial"/>
                <w:sz w:val="12"/>
                <w:szCs w:val="12"/>
                <w:color w:val="auto"/>
              </w:rPr>
              <w:t>(568)</w:t>
            </w:r>
          </w:p>
        </w:tc>
        <w:tc>
          <w:tcPr>
            <w:tcW w:w="1080" w:type="dxa"/>
            <w:vAlign w:val="bottom"/>
            <w:shd w:val="clear" w:color="auto" w:fill="CCEEFF"/>
          </w:tcPr>
          <w:p>
            <w:pPr>
              <w:jc w:val="right"/>
              <w:ind w:right="360"/>
              <w:spacing w:after="0"/>
              <w:rPr>
                <w:sz w:val="20"/>
                <w:szCs w:val="20"/>
                <w:color w:val="auto"/>
              </w:rPr>
            </w:pPr>
            <w:r>
              <w:rPr>
                <w:rFonts w:ascii="Arial" w:cs="Arial" w:eastAsia="Arial" w:hAnsi="Arial"/>
                <w:sz w:val="12"/>
                <w:szCs w:val="12"/>
                <w:color w:val="auto"/>
              </w:rPr>
              <w:t>(2,108)</w:t>
            </w:r>
          </w:p>
        </w:tc>
        <w:tc>
          <w:tcPr>
            <w:tcW w:w="1620" w:type="dxa"/>
            <w:vAlign w:val="bottom"/>
            <w:shd w:val="clear" w:color="auto" w:fill="CCEEFF"/>
          </w:tcPr>
          <w:p>
            <w:pPr>
              <w:jc w:val="right"/>
              <w:ind w:right="600"/>
              <w:spacing w:after="0"/>
              <w:rPr>
                <w:sz w:val="20"/>
                <w:szCs w:val="20"/>
                <w:color w:val="auto"/>
              </w:rPr>
            </w:pPr>
            <w:r>
              <w:rPr>
                <w:rFonts w:ascii="Arial" w:cs="Arial" w:eastAsia="Arial" w:hAnsi="Arial"/>
                <w:sz w:val="12"/>
                <w:szCs w:val="12"/>
                <w:color w:val="auto"/>
              </w:rPr>
              <w:t>(2,400)</w:t>
            </w: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(4,487)</w:t>
            </w:r>
          </w:p>
        </w:tc>
      </w:tr>
      <w:tr>
        <w:trPr>
          <w:trHeight w:val="153"/>
        </w:trPr>
        <w:tc>
          <w:tcPr>
            <w:tcW w:w="444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Same-store, Print Advertising Revenue</w:t>
            </w:r>
          </w:p>
        </w:tc>
        <w:tc>
          <w:tcPr>
            <w:tcW w:w="3440" w:type="dxa"/>
            <w:vAlign w:val="bottom"/>
            <w:tcBorders>
              <w:bottom w:val="single" w:sz="8" w:color="auto"/>
            </w:tcBorders>
          </w:tcPr>
          <w:p>
            <w:pPr>
              <w:jc w:val="right"/>
              <w:ind w:right="680"/>
              <w:spacing w:after="0"/>
              <w:rPr>
                <w:sz w:val="20"/>
                <w:szCs w:val="20"/>
                <w:color w:val="auto"/>
              </w:rPr>
            </w:pPr>
            <w:r>
              <w:rPr>
                <w:rFonts w:ascii="Arial" w:cs="Arial" w:eastAsia="Arial" w:hAnsi="Arial"/>
                <w:sz w:val="12"/>
                <w:szCs w:val="12"/>
                <w:color w:val="auto"/>
              </w:rPr>
              <w:t>13,706</w:t>
            </w:r>
          </w:p>
        </w:tc>
        <w:tc>
          <w:tcPr>
            <w:tcW w:w="1080" w:type="dxa"/>
            <w:vAlign w:val="bottom"/>
            <w:tcBorders>
              <w:bottom w:val="single" w:sz="8" w:color="auto"/>
            </w:tcBorders>
          </w:tcPr>
          <w:p>
            <w:pPr>
              <w:jc w:val="right"/>
              <w:ind w:right="400"/>
              <w:spacing w:after="0"/>
              <w:rPr>
                <w:sz w:val="20"/>
                <w:szCs w:val="20"/>
                <w:color w:val="auto"/>
              </w:rPr>
            </w:pPr>
            <w:r>
              <w:rPr>
                <w:rFonts w:ascii="Arial" w:cs="Arial" w:eastAsia="Arial" w:hAnsi="Arial"/>
                <w:sz w:val="12"/>
                <w:szCs w:val="12"/>
                <w:color w:val="auto"/>
              </w:rPr>
              <w:t>14,424</w:t>
            </w:r>
          </w:p>
        </w:tc>
        <w:tc>
          <w:tcPr>
            <w:tcW w:w="1620" w:type="dxa"/>
            <w:vAlign w:val="bottom"/>
            <w:tcBorders>
              <w:bottom w:val="single" w:sz="8" w:color="auto"/>
            </w:tcBorders>
          </w:tcPr>
          <w:p>
            <w:pPr>
              <w:jc w:val="right"/>
              <w:ind w:right="640"/>
              <w:spacing w:after="0"/>
              <w:rPr>
                <w:sz w:val="20"/>
                <w:szCs w:val="20"/>
                <w:color w:val="auto"/>
              </w:rPr>
            </w:pPr>
            <w:r>
              <w:rPr>
                <w:rFonts w:ascii="Arial" w:cs="Arial" w:eastAsia="Arial" w:hAnsi="Arial"/>
                <w:sz w:val="12"/>
                <w:szCs w:val="12"/>
                <w:color w:val="auto"/>
              </w:rPr>
              <w:t>29,065</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31,906</w:t>
            </w:r>
          </w:p>
        </w:tc>
      </w:tr>
      <w:tr>
        <w:trPr>
          <w:trHeight w:val="142"/>
        </w:trPr>
        <w:tc>
          <w:tcPr>
            <w:tcW w:w="4440" w:type="dxa"/>
            <w:vAlign w:val="bottom"/>
            <w:shd w:val="clear" w:color="auto" w:fill="CCEEFF"/>
          </w:tcPr>
          <w:p>
            <w:pPr>
              <w:spacing w:after="0"/>
              <w:rPr>
                <w:sz w:val="20"/>
                <w:szCs w:val="20"/>
                <w:color w:val="auto"/>
              </w:rPr>
            </w:pPr>
            <w:r>
              <w:rPr>
                <w:rFonts w:ascii="Arial" w:cs="Arial" w:eastAsia="Arial" w:hAnsi="Arial"/>
                <w:sz w:val="12"/>
                <w:szCs w:val="12"/>
                <w:color w:val="auto"/>
              </w:rPr>
              <w:t>Digital Advertising Revenue</w:t>
            </w:r>
          </w:p>
        </w:tc>
        <w:tc>
          <w:tcPr>
            <w:tcW w:w="3440" w:type="dxa"/>
            <w:vAlign w:val="bottom"/>
            <w:shd w:val="clear" w:color="auto" w:fill="CCEEFF"/>
          </w:tcPr>
          <w:p>
            <w:pPr>
              <w:jc w:val="right"/>
              <w:ind w:right="680"/>
              <w:spacing w:after="0"/>
              <w:rPr>
                <w:sz w:val="20"/>
                <w:szCs w:val="20"/>
                <w:color w:val="auto"/>
              </w:rPr>
            </w:pPr>
            <w:r>
              <w:rPr>
                <w:rFonts w:ascii="Arial" w:cs="Arial" w:eastAsia="Arial" w:hAnsi="Arial"/>
                <w:sz w:val="12"/>
                <w:szCs w:val="12"/>
                <w:color w:val="auto"/>
              </w:rPr>
              <w:t>40,693</w:t>
            </w:r>
          </w:p>
        </w:tc>
        <w:tc>
          <w:tcPr>
            <w:tcW w:w="1080" w:type="dxa"/>
            <w:vAlign w:val="bottom"/>
            <w:shd w:val="clear" w:color="auto" w:fill="CCEEFF"/>
          </w:tcPr>
          <w:p>
            <w:pPr>
              <w:jc w:val="right"/>
              <w:ind w:right="400"/>
              <w:spacing w:after="0"/>
              <w:rPr>
                <w:sz w:val="20"/>
                <w:szCs w:val="20"/>
                <w:color w:val="auto"/>
              </w:rPr>
            </w:pPr>
            <w:r>
              <w:rPr>
                <w:rFonts w:ascii="Arial" w:cs="Arial" w:eastAsia="Arial" w:hAnsi="Arial"/>
                <w:sz w:val="12"/>
                <w:szCs w:val="12"/>
                <w:color w:val="auto"/>
              </w:rPr>
              <w:t>43,941</w:t>
            </w:r>
          </w:p>
        </w:tc>
        <w:tc>
          <w:tcPr>
            <w:tcW w:w="1620" w:type="dxa"/>
            <w:vAlign w:val="bottom"/>
            <w:shd w:val="clear" w:color="auto" w:fill="CCEEFF"/>
          </w:tcPr>
          <w:p>
            <w:pPr>
              <w:jc w:val="right"/>
              <w:ind w:right="640"/>
              <w:spacing w:after="0"/>
              <w:rPr>
                <w:sz w:val="20"/>
                <w:szCs w:val="20"/>
                <w:color w:val="auto"/>
              </w:rPr>
            </w:pPr>
            <w:r>
              <w:rPr>
                <w:rFonts w:ascii="Arial" w:cs="Arial" w:eastAsia="Arial" w:hAnsi="Arial"/>
                <w:sz w:val="12"/>
                <w:szCs w:val="12"/>
                <w:color w:val="auto"/>
              </w:rPr>
              <w:t>83,488</w:t>
            </w: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90,670</w:t>
            </w:r>
          </w:p>
        </w:tc>
      </w:tr>
      <w:tr>
        <w:trPr>
          <w:trHeight w:val="153"/>
        </w:trPr>
        <w:tc>
          <w:tcPr>
            <w:tcW w:w="4440" w:type="dxa"/>
            <w:vAlign w:val="bottom"/>
          </w:tcPr>
          <w:p>
            <w:pPr>
              <w:spacing w:after="0"/>
              <w:rPr>
                <w:sz w:val="20"/>
                <w:szCs w:val="20"/>
                <w:color w:val="auto"/>
              </w:rPr>
            </w:pPr>
            <w:r>
              <w:rPr>
                <w:rFonts w:ascii="Arial" w:cs="Arial" w:eastAsia="Arial" w:hAnsi="Arial"/>
                <w:sz w:val="12"/>
                <w:szCs w:val="12"/>
                <w:color w:val="auto"/>
              </w:rPr>
              <w:t>Exited operations</w:t>
            </w:r>
          </w:p>
        </w:tc>
        <w:tc>
          <w:tcPr>
            <w:tcW w:w="3440" w:type="dxa"/>
            <w:vAlign w:val="bottom"/>
          </w:tcPr>
          <w:p>
            <w:pPr>
              <w:jc w:val="right"/>
              <w:ind w:right="640"/>
              <w:spacing w:after="0"/>
              <w:rPr>
                <w:sz w:val="20"/>
                <w:szCs w:val="20"/>
                <w:color w:val="auto"/>
              </w:rPr>
            </w:pPr>
            <w:r>
              <w:rPr>
                <w:rFonts w:ascii="Arial" w:cs="Arial" w:eastAsia="Arial" w:hAnsi="Arial"/>
                <w:sz w:val="12"/>
                <w:szCs w:val="12"/>
                <w:color w:val="auto"/>
              </w:rPr>
              <w:t>(168)</w:t>
            </w:r>
          </w:p>
        </w:tc>
        <w:tc>
          <w:tcPr>
            <w:tcW w:w="1080" w:type="dxa"/>
            <w:vAlign w:val="bottom"/>
          </w:tcPr>
          <w:p>
            <w:pPr>
              <w:jc w:val="right"/>
              <w:ind w:right="360"/>
              <w:spacing w:after="0"/>
              <w:rPr>
                <w:sz w:val="20"/>
                <w:szCs w:val="20"/>
                <w:color w:val="auto"/>
              </w:rPr>
            </w:pPr>
            <w:r>
              <w:rPr>
                <w:rFonts w:ascii="Arial" w:cs="Arial" w:eastAsia="Arial" w:hAnsi="Arial"/>
                <w:sz w:val="12"/>
                <w:szCs w:val="12"/>
                <w:color w:val="auto"/>
              </w:rPr>
              <w:t>(1,483)</w:t>
            </w:r>
          </w:p>
        </w:tc>
        <w:tc>
          <w:tcPr>
            <w:tcW w:w="1620" w:type="dxa"/>
            <w:vAlign w:val="bottom"/>
          </w:tcPr>
          <w:p>
            <w:pPr>
              <w:jc w:val="right"/>
              <w:ind w:right="600"/>
              <w:spacing w:after="0"/>
              <w:rPr>
                <w:sz w:val="20"/>
                <w:szCs w:val="20"/>
                <w:color w:val="auto"/>
              </w:rPr>
            </w:pPr>
            <w:r>
              <w:rPr>
                <w:rFonts w:ascii="Arial" w:cs="Arial" w:eastAsia="Arial" w:hAnsi="Arial"/>
                <w:sz w:val="12"/>
                <w:szCs w:val="12"/>
                <w:color w:val="auto"/>
              </w:rPr>
              <w:t>(770)</w:t>
            </w:r>
          </w:p>
        </w:tc>
        <w:tc>
          <w:tcPr>
            <w:tcW w:w="720" w:type="dxa"/>
            <w:vAlign w:val="bottom"/>
          </w:tcPr>
          <w:p>
            <w:pPr>
              <w:jc w:val="right"/>
              <w:spacing w:after="0"/>
              <w:rPr>
                <w:sz w:val="20"/>
                <w:szCs w:val="20"/>
                <w:color w:val="auto"/>
              </w:rPr>
            </w:pPr>
            <w:r>
              <w:rPr>
                <w:rFonts w:ascii="Arial" w:cs="Arial" w:eastAsia="Arial" w:hAnsi="Arial"/>
                <w:sz w:val="12"/>
                <w:szCs w:val="12"/>
                <w:color w:val="auto"/>
              </w:rPr>
              <w:t>(3,060)</w:t>
            </w:r>
          </w:p>
        </w:tc>
      </w:tr>
      <w:tr>
        <w:trPr>
          <w:trHeight w:val="153"/>
        </w:trPr>
        <w:tc>
          <w:tcPr>
            <w:tcW w:w="44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2"/>
                <w:szCs w:val="12"/>
                <w:color w:val="auto"/>
              </w:rPr>
              <w:t>Same-store, Digital Advertising Revenue</w:t>
            </w:r>
          </w:p>
        </w:tc>
        <w:tc>
          <w:tcPr>
            <w:tcW w:w="3440" w:type="dxa"/>
            <w:vAlign w:val="bottom"/>
            <w:tcBorders>
              <w:bottom w:val="single" w:sz="8" w:color="auto"/>
            </w:tcBorders>
            <w:shd w:val="clear" w:color="auto" w:fill="CCEEFF"/>
          </w:tcPr>
          <w:p>
            <w:pPr>
              <w:jc w:val="right"/>
              <w:ind w:right="680"/>
              <w:spacing w:after="0"/>
              <w:rPr>
                <w:sz w:val="20"/>
                <w:szCs w:val="20"/>
                <w:color w:val="auto"/>
              </w:rPr>
            </w:pPr>
            <w:r>
              <w:rPr>
                <w:rFonts w:ascii="Arial" w:cs="Arial" w:eastAsia="Arial" w:hAnsi="Arial"/>
                <w:sz w:val="12"/>
                <w:szCs w:val="12"/>
                <w:color w:val="auto"/>
              </w:rPr>
              <w:t>40,525</w:t>
            </w:r>
          </w:p>
        </w:tc>
        <w:tc>
          <w:tcPr>
            <w:tcW w:w="1080" w:type="dxa"/>
            <w:vAlign w:val="bottom"/>
            <w:tcBorders>
              <w:bottom w:val="single" w:sz="8" w:color="auto"/>
            </w:tcBorders>
            <w:shd w:val="clear" w:color="auto" w:fill="CCEEFF"/>
          </w:tcPr>
          <w:p>
            <w:pPr>
              <w:jc w:val="right"/>
              <w:ind w:right="400"/>
              <w:spacing w:after="0"/>
              <w:rPr>
                <w:sz w:val="20"/>
                <w:szCs w:val="20"/>
                <w:color w:val="auto"/>
              </w:rPr>
            </w:pPr>
            <w:r>
              <w:rPr>
                <w:rFonts w:ascii="Arial" w:cs="Arial" w:eastAsia="Arial" w:hAnsi="Arial"/>
                <w:sz w:val="12"/>
                <w:szCs w:val="12"/>
                <w:color w:val="auto"/>
              </w:rPr>
              <w:t>42,458</w:t>
            </w:r>
          </w:p>
        </w:tc>
        <w:tc>
          <w:tcPr>
            <w:tcW w:w="1620" w:type="dxa"/>
            <w:vAlign w:val="bottom"/>
            <w:tcBorders>
              <w:bottom w:val="single" w:sz="8" w:color="auto"/>
            </w:tcBorders>
            <w:shd w:val="clear" w:color="auto" w:fill="CCEEFF"/>
          </w:tcPr>
          <w:p>
            <w:pPr>
              <w:jc w:val="right"/>
              <w:ind w:right="640"/>
              <w:spacing w:after="0"/>
              <w:rPr>
                <w:sz w:val="20"/>
                <w:szCs w:val="20"/>
                <w:color w:val="auto"/>
              </w:rPr>
            </w:pPr>
            <w:r>
              <w:rPr>
                <w:rFonts w:ascii="Arial" w:cs="Arial" w:eastAsia="Arial" w:hAnsi="Arial"/>
                <w:sz w:val="12"/>
                <w:szCs w:val="12"/>
                <w:color w:val="auto"/>
              </w:rPr>
              <w:t>82,718</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87,610</w:t>
            </w:r>
          </w:p>
        </w:tc>
      </w:tr>
      <w:tr>
        <w:trPr>
          <w:trHeight w:val="142"/>
        </w:trPr>
        <w:tc>
          <w:tcPr>
            <w:tcW w:w="4440" w:type="dxa"/>
            <w:vAlign w:val="bottom"/>
          </w:tcPr>
          <w:p>
            <w:pPr>
              <w:spacing w:after="0"/>
              <w:rPr>
                <w:sz w:val="20"/>
                <w:szCs w:val="20"/>
                <w:color w:val="auto"/>
              </w:rPr>
            </w:pPr>
            <w:r>
              <w:rPr>
                <w:rFonts w:ascii="Arial" w:cs="Arial" w:eastAsia="Arial" w:hAnsi="Arial"/>
                <w:sz w:val="12"/>
                <w:szCs w:val="12"/>
                <w:color w:val="auto"/>
              </w:rPr>
              <w:t>Total Advertising Revenue</w:t>
            </w:r>
          </w:p>
        </w:tc>
        <w:tc>
          <w:tcPr>
            <w:tcW w:w="3440" w:type="dxa"/>
            <w:vAlign w:val="bottom"/>
          </w:tcPr>
          <w:p>
            <w:pPr>
              <w:jc w:val="right"/>
              <w:ind w:right="680"/>
              <w:spacing w:after="0"/>
              <w:rPr>
                <w:sz w:val="20"/>
                <w:szCs w:val="20"/>
                <w:color w:val="auto"/>
              </w:rPr>
            </w:pPr>
            <w:r>
              <w:rPr>
                <w:rFonts w:ascii="Arial" w:cs="Arial" w:eastAsia="Arial" w:hAnsi="Arial"/>
                <w:sz w:val="12"/>
                <w:szCs w:val="12"/>
                <w:color w:val="auto"/>
              </w:rPr>
              <w:t>54,967</w:t>
            </w:r>
          </w:p>
        </w:tc>
        <w:tc>
          <w:tcPr>
            <w:tcW w:w="1080" w:type="dxa"/>
            <w:vAlign w:val="bottom"/>
          </w:tcPr>
          <w:p>
            <w:pPr>
              <w:jc w:val="right"/>
              <w:ind w:right="400"/>
              <w:spacing w:after="0"/>
              <w:rPr>
                <w:sz w:val="20"/>
                <w:szCs w:val="20"/>
                <w:color w:val="auto"/>
              </w:rPr>
            </w:pPr>
            <w:r>
              <w:rPr>
                <w:rFonts w:ascii="Arial" w:cs="Arial" w:eastAsia="Arial" w:hAnsi="Arial"/>
                <w:sz w:val="12"/>
                <w:szCs w:val="12"/>
                <w:color w:val="auto"/>
              </w:rPr>
              <w:t>60,473</w:t>
            </w:r>
          </w:p>
        </w:tc>
        <w:tc>
          <w:tcPr>
            <w:tcW w:w="1620" w:type="dxa"/>
            <w:vAlign w:val="bottom"/>
          </w:tcPr>
          <w:p>
            <w:pPr>
              <w:jc w:val="right"/>
              <w:ind w:right="640"/>
              <w:spacing w:after="0"/>
              <w:rPr>
                <w:sz w:val="20"/>
                <w:szCs w:val="20"/>
                <w:color w:val="auto"/>
              </w:rPr>
            </w:pPr>
            <w:r>
              <w:rPr>
                <w:rFonts w:ascii="Arial" w:cs="Arial" w:eastAsia="Arial" w:hAnsi="Arial"/>
                <w:sz w:val="12"/>
                <w:szCs w:val="12"/>
                <w:color w:val="auto"/>
              </w:rPr>
              <w:t>114,953</w:t>
            </w:r>
          </w:p>
        </w:tc>
        <w:tc>
          <w:tcPr>
            <w:tcW w:w="720" w:type="dxa"/>
            <w:vAlign w:val="bottom"/>
          </w:tcPr>
          <w:p>
            <w:pPr>
              <w:jc w:val="right"/>
              <w:spacing w:after="0"/>
              <w:rPr>
                <w:sz w:val="20"/>
                <w:szCs w:val="20"/>
                <w:color w:val="auto"/>
              </w:rPr>
            </w:pPr>
            <w:r>
              <w:rPr>
                <w:rFonts w:ascii="Arial" w:cs="Arial" w:eastAsia="Arial" w:hAnsi="Arial"/>
                <w:sz w:val="12"/>
                <w:szCs w:val="12"/>
                <w:color w:val="auto"/>
              </w:rPr>
              <w:t>127,063</w:t>
            </w:r>
          </w:p>
        </w:tc>
      </w:tr>
      <w:tr>
        <w:trPr>
          <w:trHeight w:val="153"/>
        </w:trPr>
        <w:tc>
          <w:tcPr>
            <w:tcW w:w="4440" w:type="dxa"/>
            <w:vAlign w:val="bottom"/>
            <w:shd w:val="clear" w:color="auto" w:fill="CCEEFF"/>
          </w:tcPr>
          <w:p>
            <w:pPr>
              <w:spacing w:after="0"/>
              <w:rPr>
                <w:sz w:val="20"/>
                <w:szCs w:val="20"/>
                <w:color w:val="auto"/>
              </w:rPr>
            </w:pPr>
            <w:r>
              <w:rPr>
                <w:rFonts w:ascii="Arial" w:cs="Arial" w:eastAsia="Arial" w:hAnsi="Arial"/>
                <w:sz w:val="12"/>
                <w:szCs w:val="12"/>
                <w:color w:val="auto"/>
              </w:rPr>
              <w:t>Exited operations</w:t>
            </w:r>
          </w:p>
        </w:tc>
        <w:tc>
          <w:tcPr>
            <w:tcW w:w="3440" w:type="dxa"/>
            <w:vAlign w:val="bottom"/>
            <w:shd w:val="clear" w:color="auto" w:fill="CCEEFF"/>
          </w:tcPr>
          <w:p>
            <w:pPr>
              <w:jc w:val="right"/>
              <w:ind w:right="640"/>
              <w:spacing w:after="0"/>
              <w:rPr>
                <w:sz w:val="20"/>
                <w:szCs w:val="20"/>
                <w:color w:val="auto"/>
              </w:rPr>
            </w:pPr>
            <w:r>
              <w:rPr>
                <w:rFonts w:ascii="Arial" w:cs="Arial" w:eastAsia="Arial" w:hAnsi="Arial"/>
                <w:sz w:val="12"/>
                <w:szCs w:val="12"/>
                <w:color w:val="auto"/>
              </w:rPr>
              <w:t>(736)</w:t>
            </w:r>
          </w:p>
        </w:tc>
        <w:tc>
          <w:tcPr>
            <w:tcW w:w="1080" w:type="dxa"/>
            <w:vAlign w:val="bottom"/>
            <w:shd w:val="clear" w:color="auto" w:fill="CCEEFF"/>
          </w:tcPr>
          <w:p>
            <w:pPr>
              <w:jc w:val="right"/>
              <w:ind w:right="360"/>
              <w:spacing w:after="0"/>
              <w:rPr>
                <w:sz w:val="20"/>
                <w:szCs w:val="20"/>
                <w:color w:val="auto"/>
              </w:rPr>
            </w:pPr>
            <w:r>
              <w:rPr>
                <w:rFonts w:ascii="Arial" w:cs="Arial" w:eastAsia="Arial" w:hAnsi="Arial"/>
                <w:sz w:val="12"/>
                <w:szCs w:val="12"/>
                <w:color w:val="auto"/>
              </w:rPr>
              <w:t>(3,590)</w:t>
            </w:r>
          </w:p>
        </w:tc>
        <w:tc>
          <w:tcPr>
            <w:tcW w:w="1620" w:type="dxa"/>
            <w:vAlign w:val="bottom"/>
            <w:shd w:val="clear" w:color="auto" w:fill="CCEEFF"/>
          </w:tcPr>
          <w:p>
            <w:pPr>
              <w:jc w:val="right"/>
              <w:ind w:right="600"/>
              <w:spacing w:after="0"/>
              <w:rPr>
                <w:sz w:val="20"/>
                <w:szCs w:val="20"/>
                <w:color w:val="auto"/>
              </w:rPr>
            </w:pPr>
            <w:r>
              <w:rPr>
                <w:rFonts w:ascii="Arial" w:cs="Arial" w:eastAsia="Arial" w:hAnsi="Arial"/>
                <w:sz w:val="12"/>
                <w:szCs w:val="12"/>
                <w:color w:val="auto"/>
              </w:rPr>
              <w:t>(3,169)</w:t>
            </w: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(7,548)</w:t>
            </w:r>
          </w:p>
        </w:tc>
      </w:tr>
      <w:tr>
        <w:trPr>
          <w:trHeight w:val="153"/>
        </w:trPr>
        <w:tc>
          <w:tcPr>
            <w:tcW w:w="444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Same-store, Total Advertising Revenue</w:t>
            </w:r>
          </w:p>
        </w:tc>
        <w:tc>
          <w:tcPr>
            <w:tcW w:w="3440" w:type="dxa"/>
            <w:vAlign w:val="bottom"/>
            <w:tcBorders>
              <w:bottom w:val="single" w:sz="8" w:color="auto"/>
            </w:tcBorders>
          </w:tcPr>
          <w:p>
            <w:pPr>
              <w:jc w:val="right"/>
              <w:ind w:right="680"/>
              <w:spacing w:after="0"/>
              <w:rPr>
                <w:sz w:val="20"/>
                <w:szCs w:val="20"/>
                <w:color w:val="auto"/>
              </w:rPr>
            </w:pPr>
            <w:r>
              <w:rPr>
                <w:rFonts w:ascii="Arial" w:cs="Arial" w:eastAsia="Arial" w:hAnsi="Arial"/>
                <w:sz w:val="12"/>
                <w:szCs w:val="12"/>
                <w:color w:val="auto"/>
              </w:rPr>
              <w:t>54,231</w:t>
            </w:r>
          </w:p>
        </w:tc>
        <w:tc>
          <w:tcPr>
            <w:tcW w:w="1080" w:type="dxa"/>
            <w:vAlign w:val="bottom"/>
            <w:tcBorders>
              <w:bottom w:val="single" w:sz="8" w:color="auto"/>
            </w:tcBorders>
          </w:tcPr>
          <w:p>
            <w:pPr>
              <w:jc w:val="right"/>
              <w:ind w:right="400"/>
              <w:spacing w:after="0"/>
              <w:rPr>
                <w:sz w:val="20"/>
                <w:szCs w:val="20"/>
                <w:color w:val="auto"/>
              </w:rPr>
            </w:pPr>
            <w:r>
              <w:rPr>
                <w:rFonts w:ascii="Arial" w:cs="Arial" w:eastAsia="Arial" w:hAnsi="Arial"/>
                <w:sz w:val="12"/>
                <w:szCs w:val="12"/>
                <w:color w:val="auto"/>
              </w:rPr>
              <w:t>56,883</w:t>
            </w:r>
          </w:p>
        </w:tc>
        <w:tc>
          <w:tcPr>
            <w:tcW w:w="1620" w:type="dxa"/>
            <w:vAlign w:val="bottom"/>
            <w:tcBorders>
              <w:bottom w:val="single" w:sz="8" w:color="auto"/>
            </w:tcBorders>
          </w:tcPr>
          <w:p>
            <w:pPr>
              <w:jc w:val="right"/>
              <w:ind w:right="640"/>
              <w:spacing w:after="0"/>
              <w:rPr>
                <w:sz w:val="20"/>
                <w:szCs w:val="20"/>
                <w:color w:val="auto"/>
              </w:rPr>
            </w:pPr>
            <w:r>
              <w:rPr>
                <w:rFonts w:ascii="Arial" w:cs="Arial" w:eastAsia="Arial" w:hAnsi="Arial"/>
                <w:sz w:val="12"/>
                <w:szCs w:val="12"/>
                <w:color w:val="auto"/>
              </w:rPr>
              <w:t>111,784</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119,515</w:t>
            </w:r>
          </w:p>
        </w:tc>
      </w:tr>
      <w:tr>
        <w:trPr>
          <w:trHeight w:val="142"/>
        </w:trPr>
        <w:tc>
          <w:tcPr>
            <w:tcW w:w="4440" w:type="dxa"/>
            <w:vAlign w:val="bottom"/>
            <w:shd w:val="clear" w:color="auto" w:fill="CCEEFF"/>
          </w:tcPr>
          <w:p>
            <w:pPr>
              <w:spacing w:after="0"/>
              <w:rPr>
                <w:sz w:val="20"/>
                <w:szCs w:val="20"/>
                <w:color w:val="auto"/>
              </w:rPr>
            </w:pPr>
            <w:r>
              <w:rPr>
                <w:rFonts w:ascii="Arial" w:cs="Arial" w:eastAsia="Arial" w:hAnsi="Arial"/>
                <w:sz w:val="12"/>
                <w:szCs w:val="12"/>
                <w:color w:val="auto"/>
              </w:rPr>
              <w:t>Print Subscription Revenue</w:t>
            </w:r>
          </w:p>
        </w:tc>
        <w:tc>
          <w:tcPr>
            <w:tcW w:w="3440" w:type="dxa"/>
            <w:vAlign w:val="bottom"/>
            <w:shd w:val="clear" w:color="auto" w:fill="CCEEFF"/>
          </w:tcPr>
          <w:p>
            <w:pPr>
              <w:jc w:val="right"/>
              <w:ind w:right="680"/>
              <w:spacing w:after="0"/>
              <w:rPr>
                <w:sz w:val="20"/>
                <w:szCs w:val="20"/>
                <w:color w:val="auto"/>
              </w:rPr>
            </w:pPr>
            <w:r>
              <w:rPr>
                <w:rFonts w:ascii="Arial" w:cs="Arial" w:eastAsia="Arial" w:hAnsi="Arial"/>
                <w:sz w:val="12"/>
                <w:szCs w:val="12"/>
                <w:color w:val="auto"/>
              </w:rPr>
              <w:t>32,902</w:t>
            </w:r>
          </w:p>
        </w:tc>
        <w:tc>
          <w:tcPr>
            <w:tcW w:w="1080" w:type="dxa"/>
            <w:vAlign w:val="bottom"/>
            <w:shd w:val="clear" w:color="auto" w:fill="CCEEFF"/>
          </w:tcPr>
          <w:p>
            <w:pPr>
              <w:jc w:val="right"/>
              <w:ind w:right="400"/>
              <w:spacing w:after="0"/>
              <w:rPr>
                <w:sz w:val="20"/>
                <w:szCs w:val="20"/>
                <w:color w:val="auto"/>
              </w:rPr>
            </w:pPr>
            <w:r>
              <w:rPr>
                <w:rFonts w:ascii="Arial" w:cs="Arial" w:eastAsia="Arial" w:hAnsi="Arial"/>
                <w:sz w:val="12"/>
                <w:szCs w:val="12"/>
                <w:color w:val="auto"/>
              </w:rPr>
              <w:t>41,079</w:t>
            </w:r>
          </w:p>
        </w:tc>
        <w:tc>
          <w:tcPr>
            <w:tcW w:w="1620" w:type="dxa"/>
            <w:vAlign w:val="bottom"/>
            <w:shd w:val="clear" w:color="auto" w:fill="CCEEFF"/>
          </w:tcPr>
          <w:p>
            <w:pPr>
              <w:jc w:val="right"/>
              <w:ind w:right="640"/>
              <w:spacing w:after="0"/>
              <w:rPr>
                <w:sz w:val="20"/>
                <w:szCs w:val="20"/>
                <w:color w:val="auto"/>
              </w:rPr>
            </w:pPr>
            <w:r>
              <w:rPr>
                <w:rFonts w:ascii="Arial" w:cs="Arial" w:eastAsia="Arial" w:hAnsi="Arial"/>
                <w:sz w:val="12"/>
                <w:szCs w:val="12"/>
                <w:color w:val="auto"/>
              </w:rPr>
              <w:t>67,898</w:t>
            </w: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84,511</w:t>
            </w:r>
          </w:p>
        </w:tc>
      </w:tr>
      <w:tr>
        <w:trPr>
          <w:trHeight w:val="153"/>
        </w:trPr>
        <w:tc>
          <w:tcPr>
            <w:tcW w:w="4440" w:type="dxa"/>
            <w:vAlign w:val="bottom"/>
          </w:tcPr>
          <w:p>
            <w:pPr>
              <w:spacing w:after="0"/>
              <w:rPr>
                <w:sz w:val="20"/>
                <w:szCs w:val="20"/>
                <w:color w:val="auto"/>
              </w:rPr>
            </w:pPr>
            <w:r>
              <w:rPr>
                <w:rFonts w:ascii="Arial" w:cs="Arial" w:eastAsia="Arial" w:hAnsi="Arial"/>
                <w:sz w:val="12"/>
                <w:szCs w:val="12"/>
                <w:color w:val="auto"/>
              </w:rPr>
              <w:t>Exited operations</w:t>
            </w:r>
          </w:p>
        </w:tc>
        <w:tc>
          <w:tcPr>
            <w:tcW w:w="3440" w:type="dxa"/>
            <w:vAlign w:val="bottom"/>
          </w:tcPr>
          <w:p>
            <w:pPr>
              <w:jc w:val="right"/>
              <w:ind w:right="680"/>
              <w:spacing w:after="0"/>
              <w:rPr>
                <w:sz w:val="20"/>
                <w:szCs w:val="20"/>
                <w:color w:val="auto"/>
              </w:rPr>
            </w:pPr>
            <w:r>
              <w:rPr>
                <w:rFonts w:ascii="Arial" w:cs="Arial" w:eastAsia="Arial" w:hAnsi="Arial"/>
                <w:sz w:val="12"/>
                <w:szCs w:val="12"/>
                <w:color w:val="auto"/>
              </w:rPr>
              <w:t>—</w:t>
            </w:r>
          </w:p>
        </w:tc>
        <w:tc>
          <w:tcPr>
            <w:tcW w:w="1080" w:type="dxa"/>
            <w:vAlign w:val="bottom"/>
          </w:tcPr>
          <w:p>
            <w:pPr>
              <w:jc w:val="right"/>
              <w:ind w:right="360"/>
              <w:spacing w:after="0"/>
              <w:rPr>
                <w:sz w:val="20"/>
                <w:szCs w:val="20"/>
                <w:color w:val="auto"/>
              </w:rPr>
            </w:pPr>
            <w:r>
              <w:rPr>
                <w:rFonts w:ascii="Arial" w:cs="Arial" w:eastAsia="Arial" w:hAnsi="Arial"/>
                <w:sz w:val="12"/>
                <w:szCs w:val="12"/>
                <w:color w:val="auto"/>
              </w:rPr>
              <w:t>(50)</w:t>
            </w:r>
          </w:p>
        </w:tc>
        <w:tc>
          <w:tcPr>
            <w:tcW w:w="1620" w:type="dxa"/>
            <w:vAlign w:val="bottom"/>
          </w:tcPr>
          <w:p>
            <w:pPr>
              <w:jc w:val="right"/>
              <w:ind w:right="600"/>
              <w:spacing w:after="0"/>
              <w:rPr>
                <w:sz w:val="20"/>
                <w:szCs w:val="20"/>
                <w:color w:val="auto"/>
              </w:rPr>
            </w:pPr>
            <w:r>
              <w:rPr>
                <w:rFonts w:ascii="Arial" w:cs="Arial" w:eastAsia="Arial" w:hAnsi="Arial"/>
                <w:sz w:val="12"/>
                <w:szCs w:val="12"/>
                <w:color w:val="auto"/>
              </w:rPr>
              <w:t>(2)</w:t>
            </w:r>
          </w:p>
        </w:tc>
        <w:tc>
          <w:tcPr>
            <w:tcW w:w="720" w:type="dxa"/>
            <w:vAlign w:val="bottom"/>
          </w:tcPr>
          <w:p>
            <w:pPr>
              <w:jc w:val="right"/>
              <w:spacing w:after="0"/>
              <w:rPr>
                <w:sz w:val="20"/>
                <w:szCs w:val="20"/>
                <w:color w:val="auto"/>
              </w:rPr>
            </w:pPr>
            <w:r>
              <w:rPr>
                <w:rFonts w:ascii="Arial" w:cs="Arial" w:eastAsia="Arial" w:hAnsi="Arial"/>
                <w:sz w:val="12"/>
                <w:szCs w:val="12"/>
                <w:color w:val="auto"/>
              </w:rPr>
              <w:t>(109)</w:t>
            </w:r>
          </w:p>
        </w:tc>
      </w:tr>
      <w:tr>
        <w:trPr>
          <w:trHeight w:val="153"/>
        </w:trPr>
        <w:tc>
          <w:tcPr>
            <w:tcW w:w="44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2"/>
                <w:szCs w:val="12"/>
                <w:color w:val="auto"/>
              </w:rPr>
              <w:t>Same-store, Print Subscription Revenue</w:t>
            </w:r>
          </w:p>
        </w:tc>
        <w:tc>
          <w:tcPr>
            <w:tcW w:w="3440" w:type="dxa"/>
            <w:vAlign w:val="bottom"/>
            <w:tcBorders>
              <w:bottom w:val="single" w:sz="8" w:color="auto"/>
            </w:tcBorders>
            <w:shd w:val="clear" w:color="auto" w:fill="CCEEFF"/>
          </w:tcPr>
          <w:p>
            <w:pPr>
              <w:jc w:val="right"/>
              <w:ind w:right="680"/>
              <w:spacing w:after="0"/>
              <w:rPr>
                <w:sz w:val="20"/>
                <w:szCs w:val="20"/>
                <w:color w:val="auto"/>
              </w:rPr>
            </w:pPr>
            <w:r>
              <w:rPr>
                <w:rFonts w:ascii="Arial" w:cs="Arial" w:eastAsia="Arial" w:hAnsi="Arial"/>
                <w:sz w:val="12"/>
                <w:szCs w:val="12"/>
                <w:color w:val="auto"/>
              </w:rPr>
              <w:t>32,902</w:t>
            </w:r>
          </w:p>
        </w:tc>
        <w:tc>
          <w:tcPr>
            <w:tcW w:w="1080" w:type="dxa"/>
            <w:vAlign w:val="bottom"/>
            <w:tcBorders>
              <w:bottom w:val="single" w:sz="8" w:color="auto"/>
            </w:tcBorders>
            <w:shd w:val="clear" w:color="auto" w:fill="CCEEFF"/>
          </w:tcPr>
          <w:p>
            <w:pPr>
              <w:jc w:val="right"/>
              <w:ind w:right="400"/>
              <w:spacing w:after="0"/>
              <w:rPr>
                <w:sz w:val="20"/>
                <w:szCs w:val="20"/>
                <w:color w:val="auto"/>
              </w:rPr>
            </w:pPr>
            <w:r>
              <w:rPr>
                <w:rFonts w:ascii="Arial" w:cs="Arial" w:eastAsia="Arial" w:hAnsi="Arial"/>
                <w:sz w:val="12"/>
                <w:szCs w:val="12"/>
                <w:color w:val="auto"/>
              </w:rPr>
              <w:t>41,029</w:t>
            </w:r>
          </w:p>
        </w:tc>
        <w:tc>
          <w:tcPr>
            <w:tcW w:w="1620" w:type="dxa"/>
            <w:vAlign w:val="bottom"/>
            <w:tcBorders>
              <w:bottom w:val="single" w:sz="8" w:color="auto"/>
            </w:tcBorders>
            <w:shd w:val="clear" w:color="auto" w:fill="CCEEFF"/>
          </w:tcPr>
          <w:p>
            <w:pPr>
              <w:jc w:val="right"/>
              <w:ind w:right="640"/>
              <w:spacing w:after="0"/>
              <w:rPr>
                <w:sz w:val="20"/>
                <w:szCs w:val="20"/>
                <w:color w:val="auto"/>
              </w:rPr>
            </w:pPr>
            <w:r>
              <w:rPr>
                <w:rFonts w:ascii="Arial" w:cs="Arial" w:eastAsia="Arial" w:hAnsi="Arial"/>
                <w:sz w:val="12"/>
                <w:szCs w:val="12"/>
                <w:color w:val="auto"/>
              </w:rPr>
              <w:t>67,896</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84,402</w:t>
            </w:r>
          </w:p>
        </w:tc>
      </w:tr>
      <w:tr>
        <w:trPr>
          <w:trHeight w:val="142"/>
        </w:trPr>
        <w:tc>
          <w:tcPr>
            <w:tcW w:w="4440" w:type="dxa"/>
            <w:vAlign w:val="bottom"/>
          </w:tcPr>
          <w:p>
            <w:pPr>
              <w:spacing w:after="0"/>
              <w:rPr>
                <w:sz w:val="20"/>
                <w:szCs w:val="20"/>
                <w:color w:val="auto"/>
              </w:rPr>
            </w:pPr>
            <w:r>
              <w:rPr>
                <w:rFonts w:ascii="Arial" w:cs="Arial" w:eastAsia="Arial" w:hAnsi="Arial"/>
                <w:sz w:val="12"/>
                <w:szCs w:val="12"/>
                <w:color w:val="auto"/>
              </w:rPr>
              <w:t>Digital Subscription Revenue</w:t>
            </w:r>
          </w:p>
        </w:tc>
        <w:tc>
          <w:tcPr>
            <w:tcW w:w="3440" w:type="dxa"/>
            <w:vAlign w:val="bottom"/>
          </w:tcPr>
          <w:p>
            <w:pPr>
              <w:jc w:val="right"/>
              <w:ind w:right="680"/>
              <w:spacing w:after="0"/>
              <w:rPr>
                <w:sz w:val="20"/>
                <w:szCs w:val="20"/>
                <w:color w:val="auto"/>
              </w:rPr>
            </w:pPr>
            <w:r>
              <w:rPr>
                <w:rFonts w:ascii="Arial" w:cs="Arial" w:eastAsia="Arial" w:hAnsi="Arial"/>
                <w:sz w:val="12"/>
                <w:szCs w:val="12"/>
                <w:color w:val="auto"/>
              </w:rPr>
              <w:t>22,279</w:t>
            </w:r>
          </w:p>
        </w:tc>
        <w:tc>
          <w:tcPr>
            <w:tcW w:w="1080" w:type="dxa"/>
            <w:vAlign w:val="bottom"/>
          </w:tcPr>
          <w:p>
            <w:pPr>
              <w:jc w:val="right"/>
              <w:ind w:right="400"/>
              <w:spacing w:after="0"/>
              <w:rPr>
                <w:sz w:val="20"/>
                <w:szCs w:val="20"/>
                <w:color w:val="auto"/>
              </w:rPr>
            </w:pPr>
            <w:r>
              <w:rPr>
                <w:rFonts w:ascii="Arial" w:cs="Arial" w:eastAsia="Arial" w:hAnsi="Arial"/>
                <w:sz w:val="12"/>
                <w:szCs w:val="12"/>
                <w:color w:val="auto"/>
              </w:rPr>
              <w:t>23,789</w:t>
            </w:r>
          </w:p>
        </w:tc>
        <w:tc>
          <w:tcPr>
            <w:tcW w:w="1620" w:type="dxa"/>
            <w:vAlign w:val="bottom"/>
          </w:tcPr>
          <w:p>
            <w:pPr>
              <w:jc w:val="right"/>
              <w:ind w:right="640"/>
              <w:spacing w:after="0"/>
              <w:rPr>
                <w:sz w:val="20"/>
                <w:szCs w:val="20"/>
                <w:color w:val="auto"/>
              </w:rPr>
            </w:pPr>
            <w:r>
              <w:rPr>
                <w:rFonts w:ascii="Arial" w:cs="Arial" w:eastAsia="Arial" w:hAnsi="Arial"/>
                <w:sz w:val="12"/>
                <w:szCs w:val="12"/>
                <w:color w:val="auto"/>
              </w:rPr>
              <w:t>44,985</w:t>
            </w:r>
          </w:p>
        </w:tc>
        <w:tc>
          <w:tcPr>
            <w:tcW w:w="720" w:type="dxa"/>
            <w:vAlign w:val="bottom"/>
          </w:tcPr>
          <w:p>
            <w:pPr>
              <w:jc w:val="right"/>
              <w:spacing w:after="0"/>
              <w:rPr>
                <w:sz w:val="20"/>
                <w:szCs w:val="20"/>
                <w:color w:val="auto"/>
              </w:rPr>
            </w:pPr>
            <w:r>
              <w:rPr>
                <w:rFonts w:ascii="Arial" w:cs="Arial" w:eastAsia="Arial" w:hAnsi="Arial"/>
                <w:sz w:val="12"/>
                <w:szCs w:val="12"/>
                <w:color w:val="auto"/>
              </w:rPr>
              <w:t>45,354</w:t>
            </w:r>
          </w:p>
        </w:tc>
      </w:tr>
      <w:tr>
        <w:trPr>
          <w:trHeight w:val="153"/>
        </w:trPr>
        <w:tc>
          <w:tcPr>
            <w:tcW w:w="4440" w:type="dxa"/>
            <w:vAlign w:val="bottom"/>
            <w:shd w:val="clear" w:color="auto" w:fill="CCEEFF"/>
          </w:tcPr>
          <w:p>
            <w:pPr>
              <w:spacing w:after="0"/>
              <w:rPr>
                <w:sz w:val="20"/>
                <w:szCs w:val="20"/>
                <w:color w:val="auto"/>
              </w:rPr>
            </w:pPr>
            <w:r>
              <w:rPr>
                <w:rFonts w:ascii="Arial" w:cs="Arial" w:eastAsia="Arial" w:hAnsi="Arial"/>
                <w:sz w:val="12"/>
                <w:szCs w:val="12"/>
                <w:color w:val="auto"/>
              </w:rPr>
              <w:t>Exited operations</w:t>
            </w:r>
          </w:p>
        </w:tc>
        <w:tc>
          <w:tcPr>
            <w:tcW w:w="3440" w:type="dxa"/>
            <w:vAlign w:val="bottom"/>
            <w:shd w:val="clear" w:color="auto" w:fill="CCEEFF"/>
          </w:tcPr>
          <w:p>
            <w:pPr>
              <w:jc w:val="right"/>
              <w:ind w:right="680"/>
              <w:spacing w:after="0"/>
              <w:rPr>
                <w:sz w:val="20"/>
                <w:szCs w:val="20"/>
                <w:color w:val="auto"/>
              </w:rPr>
            </w:pPr>
            <w:r>
              <w:rPr>
                <w:rFonts w:ascii="Arial" w:cs="Arial" w:eastAsia="Arial" w:hAnsi="Arial"/>
                <w:sz w:val="12"/>
                <w:szCs w:val="12"/>
                <w:color w:val="auto"/>
              </w:rPr>
              <w:t>—</w:t>
            </w:r>
          </w:p>
        </w:tc>
        <w:tc>
          <w:tcPr>
            <w:tcW w:w="1080" w:type="dxa"/>
            <w:vAlign w:val="bottom"/>
            <w:shd w:val="clear" w:color="auto" w:fill="CCEEFF"/>
          </w:tcPr>
          <w:p>
            <w:pPr>
              <w:jc w:val="right"/>
              <w:ind w:right="400"/>
              <w:spacing w:after="0"/>
              <w:rPr>
                <w:sz w:val="20"/>
                <w:szCs w:val="20"/>
                <w:color w:val="auto"/>
              </w:rPr>
            </w:pPr>
            <w:r>
              <w:rPr>
                <w:rFonts w:ascii="Arial" w:cs="Arial" w:eastAsia="Arial" w:hAnsi="Arial"/>
                <w:sz w:val="12"/>
                <w:szCs w:val="12"/>
                <w:color w:val="auto"/>
              </w:rPr>
              <w:t>—</w:t>
            </w:r>
          </w:p>
        </w:tc>
        <w:tc>
          <w:tcPr>
            <w:tcW w:w="1620" w:type="dxa"/>
            <w:vAlign w:val="bottom"/>
            <w:shd w:val="clear" w:color="auto" w:fill="CCEEFF"/>
          </w:tcPr>
          <w:p>
            <w:pPr>
              <w:jc w:val="right"/>
              <w:ind w:right="600"/>
              <w:spacing w:after="0"/>
              <w:rPr>
                <w:sz w:val="20"/>
                <w:szCs w:val="20"/>
                <w:color w:val="auto"/>
              </w:rPr>
            </w:pPr>
            <w:r>
              <w:rPr>
                <w:rFonts w:ascii="Arial" w:cs="Arial" w:eastAsia="Arial" w:hAnsi="Arial"/>
                <w:sz w:val="12"/>
                <w:szCs w:val="12"/>
                <w:color w:val="auto"/>
              </w:rPr>
              <w:t>(1)</w:t>
            </w: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w:t>
            </w:r>
          </w:p>
        </w:tc>
      </w:tr>
      <w:tr>
        <w:trPr>
          <w:trHeight w:val="153"/>
        </w:trPr>
        <w:tc>
          <w:tcPr>
            <w:tcW w:w="444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Same-store, Digital Subscription Revenue</w:t>
            </w:r>
          </w:p>
        </w:tc>
        <w:tc>
          <w:tcPr>
            <w:tcW w:w="3440" w:type="dxa"/>
            <w:vAlign w:val="bottom"/>
            <w:tcBorders>
              <w:bottom w:val="single" w:sz="8" w:color="auto"/>
            </w:tcBorders>
          </w:tcPr>
          <w:p>
            <w:pPr>
              <w:jc w:val="right"/>
              <w:ind w:right="680"/>
              <w:spacing w:after="0"/>
              <w:rPr>
                <w:sz w:val="20"/>
                <w:szCs w:val="20"/>
                <w:color w:val="auto"/>
              </w:rPr>
            </w:pPr>
            <w:r>
              <w:rPr>
                <w:rFonts w:ascii="Arial" w:cs="Arial" w:eastAsia="Arial" w:hAnsi="Arial"/>
                <w:sz w:val="12"/>
                <w:szCs w:val="12"/>
                <w:color w:val="auto"/>
              </w:rPr>
              <w:t>22,279</w:t>
            </w:r>
          </w:p>
        </w:tc>
        <w:tc>
          <w:tcPr>
            <w:tcW w:w="1080" w:type="dxa"/>
            <w:vAlign w:val="bottom"/>
            <w:tcBorders>
              <w:bottom w:val="single" w:sz="8" w:color="auto"/>
            </w:tcBorders>
          </w:tcPr>
          <w:p>
            <w:pPr>
              <w:jc w:val="right"/>
              <w:ind w:right="400"/>
              <w:spacing w:after="0"/>
              <w:rPr>
                <w:sz w:val="20"/>
                <w:szCs w:val="20"/>
                <w:color w:val="auto"/>
              </w:rPr>
            </w:pPr>
            <w:r>
              <w:rPr>
                <w:rFonts w:ascii="Arial" w:cs="Arial" w:eastAsia="Arial" w:hAnsi="Arial"/>
                <w:sz w:val="12"/>
                <w:szCs w:val="12"/>
                <w:color w:val="auto"/>
              </w:rPr>
              <w:t>23,789</w:t>
            </w:r>
          </w:p>
        </w:tc>
        <w:tc>
          <w:tcPr>
            <w:tcW w:w="1620" w:type="dxa"/>
            <w:vAlign w:val="bottom"/>
            <w:tcBorders>
              <w:bottom w:val="single" w:sz="8" w:color="auto"/>
            </w:tcBorders>
          </w:tcPr>
          <w:p>
            <w:pPr>
              <w:jc w:val="right"/>
              <w:ind w:right="640"/>
              <w:spacing w:after="0"/>
              <w:rPr>
                <w:sz w:val="20"/>
                <w:szCs w:val="20"/>
                <w:color w:val="auto"/>
              </w:rPr>
            </w:pPr>
            <w:r>
              <w:rPr>
                <w:rFonts w:ascii="Arial" w:cs="Arial" w:eastAsia="Arial" w:hAnsi="Arial"/>
                <w:sz w:val="12"/>
                <w:szCs w:val="12"/>
                <w:color w:val="auto"/>
              </w:rPr>
              <w:t>44,984</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45,352</w:t>
            </w:r>
          </w:p>
        </w:tc>
      </w:tr>
      <w:tr>
        <w:trPr>
          <w:trHeight w:val="142"/>
        </w:trPr>
        <w:tc>
          <w:tcPr>
            <w:tcW w:w="4440" w:type="dxa"/>
            <w:vAlign w:val="bottom"/>
            <w:shd w:val="clear" w:color="auto" w:fill="CCEEFF"/>
          </w:tcPr>
          <w:p>
            <w:pPr>
              <w:spacing w:after="0"/>
              <w:rPr>
                <w:sz w:val="20"/>
                <w:szCs w:val="20"/>
                <w:color w:val="auto"/>
              </w:rPr>
            </w:pPr>
            <w:r>
              <w:rPr>
                <w:rFonts w:ascii="Arial" w:cs="Arial" w:eastAsia="Arial" w:hAnsi="Arial"/>
                <w:sz w:val="12"/>
                <w:szCs w:val="12"/>
                <w:color w:val="auto"/>
              </w:rPr>
              <w:t>Total Subscription Revenue</w:t>
            </w:r>
          </w:p>
        </w:tc>
        <w:tc>
          <w:tcPr>
            <w:tcW w:w="3440" w:type="dxa"/>
            <w:vAlign w:val="bottom"/>
            <w:shd w:val="clear" w:color="auto" w:fill="CCEEFF"/>
          </w:tcPr>
          <w:p>
            <w:pPr>
              <w:jc w:val="right"/>
              <w:ind w:right="680"/>
              <w:spacing w:after="0"/>
              <w:rPr>
                <w:sz w:val="20"/>
                <w:szCs w:val="20"/>
                <w:color w:val="auto"/>
              </w:rPr>
            </w:pPr>
            <w:r>
              <w:rPr>
                <w:rFonts w:ascii="Arial" w:cs="Arial" w:eastAsia="Arial" w:hAnsi="Arial"/>
                <w:sz w:val="12"/>
                <w:szCs w:val="12"/>
                <w:color w:val="auto"/>
              </w:rPr>
              <w:t>55,181</w:t>
            </w:r>
          </w:p>
        </w:tc>
        <w:tc>
          <w:tcPr>
            <w:tcW w:w="1080" w:type="dxa"/>
            <w:vAlign w:val="bottom"/>
            <w:shd w:val="clear" w:color="auto" w:fill="CCEEFF"/>
          </w:tcPr>
          <w:p>
            <w:pPr>
              <w:jc w:val="right"/>
              <w:ind w:right="400"/>
              <w:spacing w:after="0"/>
              <w:rPr>
                <w:sz w:val="20"/>
                <w:szCs w:val="20"/>
                <w:color w:val="auto"/>
              </w:rPr>
            </w:pPr>
            <w:r>
              <w:rPr>
                <w:rFonts w:ascii="Arial" w:cs="Arial" w:eastAsia="Arial" w:hAnsi="Arial"/>
                <w:sz w:val="12"/>
                <w:szCs w:val="12"/>
                <w:color w:val="auto"/>
              </w:rPr>
              <w:t>64,868</w:t>
            </w:r>
          </w:p>
        </w:tc>
        <w:tc>
          <w:tcPr>
            <w:tcW w:w="1620" w:type="dxa"/>
            <w:vAlign w:val="bottom"/>
            <w:shd w:val="clear" w:color="auto" w:fill="CCEEFF"/>
          </w:tcPr>
          <w:p>
            <w:pPr>
              <w:jc w:val="right"/>
              <w:ind w:right="640"/>
              <w:spacing w:after="0"/>
              <w:rPr>
                <w:sz w:val="20"/>
                <w:szCs w:val="20"/>
                <w:color w:val="auto"/>
              </w:rPr>
            </w:pPr>
            <w:r>
              <w:rPr>
                <w:rFonts w:ascii="Arial" w:cs="Arial" w:eastAsia="Arial" w:hAnsi="Arial"/>
                <w:sz w:val="12"/>
                <w:szCs w:val="12"/>
                <w:color w:val="auto"/>
              </w:rPr>
              <w:t>112,883</w:t>
            </w: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129,865</w:t>
            </w:r>
          </w:p>
        </w:tc>
      </w:tr>
      <w:tr>
        <w:trPr>
          <w:trHeight w:val="153"/>
        </w:trPr>
        <w:tc>
          <w:tcPr>
            <w:tcW w:w="4440" w:type="dxa"/>
            <w:vAlign w:val="bottom"/>
          </w:tcPr>
          <w:p>
            <w:pPr>
              <w:spacing w:after="0"/>
              <w:rPr>
                <w:sz w:val="20"/>
                <w:szCs w:val="20"/>
                <w:color w:val="auto"/>
              </w:rPr>
            </w:pPr>
            <w:r>
              <w:rPr>
                <w:rFonts w:ascii="Arial" w:cs="Arial" w:eastAsia="Arial" w:hAnsi="Arial"/>
                <w:sz w:val="12"/>
                <w:szCs w:val="12"/>
                <w:color w:val="auto"/>
              </w:rPr>
              <w:t>Exited operations</w:t>
            </w:r>
          </w:p>
        </w:tc>
        <w:tc>
          <w:tcPr>
            <w:tcW w:w="3440" w:type="dxa"/>
            <w:vAlign w:val="bottom"/>
          </w:tcPr>
          <w:p>
            <w:pPr>
              <w:jc w:val="right"/>
              <w:ind w:right="680"/>
              <w:spacing w:after="0"/>
              <w:rPr>
                <w:sz w:val="20"/>
                <w:szCs w:val="20"/>
                <w:color w:val="auto"/>
              </w:rPr>
            </w:pPr>
            <w:r>
              <w:rPr>
                <w:rFonts w:ascii="Arial" w:cs="Arial" w:eastAsia="Arial" w:hAnsi="Arial"/>
                <w:sz w:val="12"/>
                <w:szCs w:val="12"/>
                <w:color w:val="auto"/>
              </w:rPr>
              <w:t>—</w:t>
            </w:r>
          </w:p>
        </w:tc>
        <w:tc>
          <w:tcPr>
            <w:tcW w:w="1080" w:type="dxa"/>
            <w:vAlign w:val="bottom"/>
          </w:tcPr>
          <w:p>
            <w:pPr>
              <w:jc w:val="right"/>
              <w:ind w:right="360"/>
              <w:spacing w:after="0"/>
              <w:rPr>
                <w:sz w:val="20"/>
                <w:szCs w:val="20"/>
                <w:color w:val="auto"/>
              </w:rPr>
            </w:pPr>
            <w:r>
              <w:rPr>
                <w:rFonts w:ascii="Arial" w:cs="Arial" w:eastAsia="Arial" w:hAnsi="Arial"/>
                <w:sz w:val="12"/>
                <w:szCs w:val="12"/>
                <w:color w:val="auto"/>
              </w:rPr>
              <w:t>(50)</w:t>
            </w:r>
          </w:p>
        </w:tc>
        <w:tc>
          <w:tcPr>
            <w:tcW w:w="1620" w:type="dxa"/>
            <w:vAlign w:val="bottom"/>
          </w:tcPr>
          <w:p>
            <w:pPr>
              <w:jc w:val="right"/>
              <w:ind w:right="600"/>
              <w:spacing w:after="0"/>
              <w:rPr>
                <w:sz w:val="20"/>
                <w:szCs w:val="20"/>
                <w:color w:val="auto"/>
              </w:rPr>
            </w:pPr>
            <w:r>
              <w:rPr>
                <w:rFonts w:ascii="Arial" w:cs="Arial" w:eastAsia="Arial" w:hAnsi="Arial"/>
                <w:sz w:val="12"/>
                <w:szCs w:val="12"/>
                <w:color w:val="auto"/>
              </w:rPr>
              <w:t>(3)</w:t>
            </w:r>
          </w:p>
        </w:tc>
        <w:tc>
          <w:tcPr>
            <w:tcW w:w="720" w:type="dxa"/>
            <w:vAlign w:val="bottom"/>
          </w:tcPr>
          <w:p>
            <w:pPr>
              <w:jc w:val="right"/>
              <w:spacing w:after="0"/>
              <w:rPr>
                <w:sz w:val="20"/>
                <w:szCs w:val="20"/>
                <w:color w:val="auto"/>
              </w:rPr>
            </w:pPr>
            <w:r>
              <w:rPr>
                <w:rFonts w:ascii="Arial" w:cs="Arial" w:eastAsia="Arial" w:hAnsi="Arial"/>
                <w:sz w:val="12"/>
                <w:szCs w:val="12"/>
                <w:color w:val="auto"/>
              </w:rPr>
              <w:t>(111)</w:t>
            </w:r>
          </w:p>
        </w:tc>
      </w:tr>
      <w:tr>
        <w:trPr>
          <w:trHeight w:val="153"/>
        </w:trPr>
        <w:tc>
          <w:tcPr>
            <w:tcW w:w="44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2"/>
                <w:szCs w:val="12"/>
                <w:color w:val="auto"/>
              </w:rPr>
              <w:t>Same-store, Total Subscription Revenue</w:t>
            </w:r>
          </w:p>
        </w:tc>
        <w:tc>
          <w:tcPr>
            <w:tcW w:w="3440" w:type="dxa"/>
            <w:vAlign w:val="bottom"/>
            <w:tcBorders>
              <w:bottom w:val="single" w:sz="8" w:color="auto"/>
            </w:tcBorders>
            <w:shd w:val="clear" w:color="auto" w:fill="CCEEFF"/>
          </w:tcPr>
          <w:p>
            <w:pPr>
              <w:jc w:val="right"/>
              <w:ind w:right="680"/>
              <w:spacing w:after="0"/>
              <w:rPr>
                <w:sz w:val="20"/>
                <w:szCs w:val="20"/>
                <w:color w:val="auto"/>
              </w:rPr>
            </w:pPr>
            <w:r>
              <w:rPr>
                <w:rFonts w:ascii="Arial" w:cs="Arial" w:eastAsia="Arial" w:hAnsi="Arial"/>
                <w:sz w:val="12"/>
                <w:szCs w:val="12"/>
                <w:color w:val="auto"/>
              </w:rPr>
              <w:t>55,181</w:t>
            </w:r>
          </w:p>
        </w:tc>
        <w:tc>
          <w:tcPr>
            <w:tcW w:w="1080" w:type="dxa"/>
            <w:vAlign w:val="bottom"/>
            <w:tcBorders>
              <w:bottom w:val="single" w:sz="8" w:color="auto"/>
            </w:tcBorders>
            <w:shd w:val="clear" w:color="auto" w:fill="CCEEFF"/>
          </w:tcPr>
          <w:p>
            <w:pPr>
              <w:jc w:val="right"/>
              <w:ind w:right="400"/>
              <w:spacing w:after="0"/>
              <w:rPr>
                <w:sz w:val="20"/>
                <w:szCs w:val="20"/>
                <w:color w:val="auto"/>
              </w:rPr>
            </w:pPr>
            <w:r>
              <w:rPr>
                <w:rFonts w:ascii="Arial" w:cs="Arial" w:eastAsia="Arial" w:hAnsi="Arial"/>
                <w:sz w:val="12"/>
                <w:szCs w:val="12"/>
                <w:color w:val="auto"/>
              </w:rPr>
              <w:t>64,818</w:t>
            </w:r>
          </w:p>
        </w:tc>
        <w:tc>
          <w:tcPr>
            <w:tcW w:w="1620" w:type="dxa"/>
            <w:vAlign w:val="bottom"/>
            <w:tcBorders>
              <w:bottom w:val="single" w:sz="8" w:color="auto"/>
            </w:tcBorders>
            <w:shd w:val="clear" w:color="auto" w:fill="CCEEFF"/>
          </w:tcPr>
          <w:p>
            <w:pPr>
              <w:jc w:val="right"/>
              <w:ind w:right="640"/>
              <w:spacing w:after="0"/>
              <w:rPr>
                <w:sz w:val="20"/>
                <w:szCs w:val="20"/>
                <w:color w:val="auto"/>
              </w:rPr>
            </w:pPr>
            <w:r>
              <w:rPr>
                <w:rFonts w:ascii="Arial" w:cs="Arial" w:eastAsia="Arial" w:hAnsi="Arial"/>
                <w:sz w:val="12"/>
                <w:szCs w:val="12"/>
                <w:color w:val="auto"/>
              </w:rPr>
              <w:t>112,880</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129,754</w:t>
            </w:r>
          </w:p>
        </w:tc>
      </w:tr>
      <w:tr>
        <w:trPr>
          <w:trHeight w:val="142"/>
        </w:trPr>
        <w:tc>
          <w:tcPr>
            <w:tcW w:w="4440" w:type="dxa"/>
            <w:vAlign w:val="bottom"/>
          </w:tcPr>
          <w:p>
            <w:pPr>
              <w:spacing w:after="0"/>
              <w:rPr>
                <w:sz w:val="20"/>
                <w:szCs w:val="20"/>
                <w:color w:val="auto"/>
              </w:rPr>
            </w:pPr>
            <w:r>
              <w:rPr>
                <w:rFonts w:ascii="Arial" w:cs="Arial" w:eastAsia="Arial" w:hAnsi="Arial"/>
                <w:sz w:val="12"/>
                <w:szCs w:val="12"/>
                <w:color w:val="auto"/>
              </w:rPr>
              <w:t>Print Other Revenue</w:t>
            </w:r>
          </w:p>
        </w:tc>
        <w:tc>
          <w:tcPr>
            <w:tcW w:w="3440" w:type="dxa"/>
            <w:vAlign w:val="bottom"/>
          </w:tcPr>
          <w:p>
            <w:pPr>
              <w:jc w:val="right"/>
              <w:ind w:right="680"/>
              <w:spacing w:after="0"/>
              <w:rPr>
                <w:sz w:val="20"/>
                <w:szCs w:val="20"/>
                <w:color w:val="auto"/>
              </w:rPr>
            </w:pPr>
            <w:r>
              <w:rPr>
                <w:rFonts w:ascii="Arial" w:cs="Arial" w:eastAsia="Arial" w:hAnsi="Arial"/>
                <w:sz w:val="12"/>
                <w:szCs w:val="12"/>
                <w:color w:val="auto"/>
              </w:rPr>
              <w:t>7,032</w:t>
            </w:r>
          </w:p>
        </w:tc>
        <w:tc>
          <w:tcPr>
            <w:tcW w:w="1080" w:type="dxa"/>
            <w:vAlign w:val="bottom"/>
          </w:tcPr>
          <w:p>
            <w:pPr>
              <w:jc w:val="right"/>
              <w:ind w:right="400"/>
              <w:spacing w:after="0"/>
              <w:rPr>
                <w:sz w:val="20"/>
                <w:szCs w:val="20"/>
                <w:color w:val="auto"/>
              </w:rPr>
            </w:pPr>
            <w:r>
              <w:rPr>
                <w:rFonts w:ascii="Arial" w:cs="Arial" w:eastAsia="Arial" w:hAnsi="Arial"/>
                <w:sz w:val="12"/>
                <w:szCs w:val="12"/>
                <w:color w:val="auto"/>
              </w:rPr>
              <w:t>7,213</w:t>
            </w:r>
          </w:p>
        </w:tc>
        <w:tc>
          <w:tcPr>
            <w:tcW w:w="1620" w:type="dxa"/>
            <w:vAlign w:val="bottom"/>
          </w:tcPr>
          <w:p>
            <w:pPr>
              <w:jc w:val="right"/>
              <w:ind w:right="640"/>
              <w:spacing w:after="0"/>
              <w:rPr>
                <w:sz w:val="20"/>
                <w:szCs w:val="20"/>
                <w:color w:val="auto"/>
              </w:rPr>
            </w:pPr>
            <w:r>
              <w:rPr>
                <w:rFonts w:ascii="Arial" w:cs="Arial" w:eastAsia="Arial" w:hAnsi="Arial"/>
                <w:sz w:val="12"/>
                <w:szCs w:val="12"/>
                <w:color w:val="auto"/>
              </w:rPr>
              <w:t>14,578</w:t>
            </w:r>
          </w:p>
        </w:tc>
        <w:tc>
          <w:tcPr>
            <w:tcW w:w="720" w:type="dxa"/>
            <w:vAlign w:val="bottom"/>
          </w:tcPr>
          <w:p>
            <w:pPr>
              <w:jc w:val="right"/>
              <w:spacing w:after="0"/>
              <w:rPr>
                <w:sz w:val="20"/>
                <w:szCs w:val="20"/>
                <w:color w:val="auto"/>
              </w:rPr>
            </w:pPr>
            <w:r>
              <w:rPr>
                <w:rFonts w:ascii="Arial" w:cs="Arial" w:eastAsia="Arial" w:hAnsi="Arial"/>
                <w:sz w:val="12"/>
                <w:szCs w:val="12"/>
                <w:color w:val="auto"/>
              </w:rPr>
              <w:t>15,101</w:t>
            </w:r>
          </w:p>
        </w:tc>
      </w:tr>
      <w:tr>
        <w:trPr>
          <w:trHeight w:val="153"/>
        </w:trPr>
        <w:tc>
          <w:tcPr>
            <w:tcW w:w="4440" w:type="dxa"/>
            <w:vAlign w:val="bottom"/>
            <w:shd w:val="clear" w:color="auto" w:fill="CCEEFF"/>
          </w:tcPr>
          <w:p>
            <w:pPr>
              <w:spacing w:after="0"/>
              <w:rPr>
                <w:sz w:val="20"/>
                <w:szCs w:val="20"/>
                <w:color w:val="auto"/>
              </w:rPr>
            </w:pPr>
            <w:r>
              <w:rPr>
                <w:rFonts w:ascii="Arial" w:cs="Arial" w:eastAsia="Arial" w:hAnsi="Arial"/>
                <w:sz w:val="12"/>
                <w:szCs w:val="12"/>
                <w:color w:val="auto"/>
              </w:rPr>
              <w:t>Exited operations</w:t>
            </w:r>
          </w:p>
        </w:tc>
        <w:tc>
          <w:tcPr>
            <w:tcW w:w="3440" w:type="dxa"/>
            <w:vAlign w:val="bottom"/>
            <w:shd w:val="clear" w:color="auto" w:fill="CCEEFF"/>
          </w:tcPr>
          <w:p>
            <w:pPr>
              <w:jc w:val="right"/>
              <w:ind w:right="680"/>
              <w:spacing w:after="0"/>
              <w:rPr>
                <w:sz w:val="20"/>
                <w:szCs w:val="20"/>
                <w:color w:val="auto"/>
              </w:rPr>
            </w:pPr>
            <w:r>
              <w:rPr>
                <w:rFonts w:ascii="Arial" w:cs="Arial" w:eastAsia="Arial" w:hAnsi="Arial"/>
                <w:sz w:val="12"/>
                <w:szCs w:val="12"/>
                <w:color w:val="auto"/>
              </w:rPr>
              <w:t>—</w:t>
            </w:r>
          </w:p>
        </w:tc>
        <w:tc>
          <w:tcPr>
            <w:tcW w:w="1080" w:type="dxa"/>
            <w:vAlign w:val="bottom"/>
            <w:shd w:val="clear" w:color="auto" w:fill="CCEEFF"/>
          </w:tcPr>
          <w:p>
            <w:pPr>
              <w:jc w:val="right"/>
              <w:ind w:right="400"/>
              <w:spacing w:after="0"/>
              <w:rPr>
                <w:sz w:val="20"/>
                <w:szCs w:val="20"/>
                <w:color w:val="auto"/>
              </w:rPr>
            </w:pPr>
            <w:r>
              <w:rPr>
                <w:rFonts w:ascii="Arial" w:cs="Arial" w:eastAsia="Arial" w:hAnsi="Arial"/>
                <w:sz w:val="12"/>
                <w:szCs w:val="12"/>
                <w:color w:val="auto"/>
              </w:rPr>
              <w:t>—</w:t>
            </w:r>
          </w:p>
        </w:tc>
        <w:tc>
          <w:tcPr>
            <w:tcW w:w="1620" w:type="dxa"/>
            <w:vAlign w:val="bottom"/>
            <w:shd w:val="clear" w:color="auto" w:fill="CCEEFF"/>
          </w:tcPr>
          <w:p>
            <w:pPr>
              <w:jc w:val="right"/>
              <w:ind w:right="640"/>
              <w:spacing w:after="0"/>
              <w:rPr>
                <w:sz w:val="20"/>
                <w:szCs w:val="20"/>
                <w:color w:val="auto"/>
              </w:rPr>
            </w:pPr>
            <w:r>
              <w:rPr>
                <w:rFonts w:ascii="Arial" w:cs="Arial" w:eastAsia="Arial" w:hAnsi="Arial"/>
                <w:sz w:val="12"/>
                <w:szCs w:val="12"/>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r>
      <w:tr>
        <w:trPr>
          <w:trHeight w:val="153"/>
        </w:trPr>
        <w:tc>
          <w:tcPr>
            <w:tcW w:w="444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Same-store, Print Other Revenue</w:t>
            </w:r>
          </w:p>
        </w:tc>
        <w:tc>
          <w:tcPr>
            <w:tcW w:w="3440" w:type="dxa"/>
            <w:vAlign w:val="bottom"/>
            <w:tcBorders>
              <w:bottom w:val="single" w:sz="8" w:color="auto"/>
            </w:tcBorders>
          </w:tcPr>
          <w:p>
            <w:pPr>
              <w:jc w:val="right"/>
              <w:ind w:right="680"/>
              <w:spacing w:after="0"/>
              <w:rPr>
                <w:sz w:val="20"/>
                <w:szCs w:val="20"/>
                <w:color w:val="auto"/>
              </w:rPr>
            </w:pPr>
            <w:r>
              <w:rPr>
                <w:rFonts w:ascii="Arial" w:cs="Arial" w:eastAsia="Arial" w:hAnsi="Arial"/>
                <w:sz w:val="12"/>
                <w:szCs w:val="12"/>
                <w:color w:val="auto"/>
              </w:rPr>
              <w:t>7,032</w:t>
            </w:r>
          </w:p>
        </w:tc>
        <w:tc>
          <w:tcPr>
            <w:tcW w:w="1080" w:type="dxa"/>
            <w:vAlign w:val="bottom"/>
            <w:tcBorders>
              <w:bottom w:val="single" w:sz="8" w:color="auto"/>
            </w:tcBorders>
          </w:tcPr>
          <w:p>
            <w:pPr>
              <w:jc w:val="right"/>
              <w:ind w:right="400"/>
              <w:spacing w:after="0"/>
              <w:rPr>
                <w:sz w:val="20"/>
                <w:szCs w:val="20"/>
                <w:color w:val="auto"/>
              </w:rPr>
            </w:pPr>
            <w:r>
              <w:rPr>
                <w:rFonts w:ascii="Arial" w:cs="Arial" w:eastAsia="Arial" w:hAnsi="Arial"/>
                <w:sz w:val="12"/>
                <w:szCs w:val="12"/>
                <w:color w:val="auto"/>
              </w:rPr>
              <w:t>7,213</w:t>
            </w:r>
          </w:p>
        </w:tc>
        <w:tc>
          <w:tcPr>
            <w:tcW w:w="1620" w:type="dxa"/>
            <w:vAlign w:val="bottom"/>
            <w:tcBorders>
              <w:bottom w:val="single" w:sz="8" w:color="auto"/>
            </w:tcBorders>
          </w:tcPr>
          <w:p>
            <w:pPr>
              <w:jc w:val="right"/>
              <w:ind w:right="640"/>
              <w:spacing w:after="0"/>
              <w:rPr>
                <w:sz w:val="20"/>
                <w:szCs w:val="20"/>
                <w:color w:val="auto"/>
              </w:rPr>
            </w:pPr>
            <w:r>
              <w:rPr>
                <w:rFonts w:ascii="Arial" w:cs="Arial" w:eastAsia="Arial" w:hAnsi="Arial"/>
                <w:sz w:val="12"/>
                <w:szCs w:val="12"/>
                <w:color w:val="auto"/>
              </w:rPr>
              <w:t>14,578</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15,101</w:t>
            </w:r>
          </w:p>
        </w:tc>
      </w:tr>
      <w:tr>
        <w:trPr>
          <w:trHeight w:val="142"/>
        </w:trPr>
        <w:tc>
          <w:tcPr>
            <w:tcW w:w="4440" w:type="dxa"/>
            <w:vAlign w:val="bottom"/>
            <w:shd w:val="clear" w:color="auto" w:fill="CCEEFF"/>
          </w:tcPr>
          <w:p>
            <w:pPr>
              <w:spacing w:after="0"/>
              <w:rPr>
                <w:sz w:val="20"/>
                <w:szCs w:val="20"/>
                <w:color w:val="auto"/>
              </w:rPr>
            </w:pPr>
            <w:r>
              <w:rPr>
                <w:rFonts w:ascii="Arial" w:cs="Arial" w:eastAsia="Arial" w:hAnsi="Arial"/>
                <w:sz w:val="12"/>
                <w:szCs w:val="12"/>
                <w:color w:val="auto"/>
              </w:rPr>
              <w:t>Digital Other Revenue</w:t>
            </w:r>
          </w:p>
        </w:tc>
        <w:tc>
          <w:tcPr>
            <w:tcW w:w="3440" w:type="dxa"/>
            <w:vAlign w:val="bottom"/>
            <w:shd w:val="clear" w:color="auto" w:fill="CCEEFF"/>
          </w:tcPr>
          <w:p>
            <w:pPr>
              <w:jc w:val="right"/>
              <w:ind w:right="680"/>
              <w:spacing w:after="0"/>
              <w:rPr>
                <w:sz w:val="20"/>
                <w:szCs w:val="20"/>
                <w:color w:val="auto"/>
              </w:rPr>
            </w:pPr>
            <w:r>
              <w:rPr>
                <w:rFonts w:ascii="Arial" w:cs="Arial" w:eastAsia="Arial" w:hAnsi="Arial"/>
                <w:sz w:val="12"/>
                <w:szCs w:val="12"/>
                <w:color w:val="auto"/>
              </w:rPr>
              <w:t>4,784</w:t>
            </w:r>
          </w:p>
        </w:tc>
        <w:tc>
          <w:tcPr>
            <w:tcW w:w="1080" w:type="dxa"/>
            <w:vAlign w:val="bottom"/>
            <w:shd w:val="clear" w:color="auto" w:fill="CCEEFF"/>
          </w:tcPr>
          <w:p>
            <w:pPr>
              <w:jc w:val="right"/>
              <w:ind w:right="400"/>
              <w:spacing w:after="0"/>
              <w:rPr>
                <w:sz w:val="20"/>
                <w:szCs w:val="20"/>
                <w:color w:val="auto"/>
              </w:rPr>
            </w:pPr>
            <w:r>
              <w:rPr>
                <w:rFonts w:ascii="Arial" w:cs="Arial" w:eastAsia="Arial" w:hAnsi="Arial"/>
                <w:sz w:val="12"/>
                <w:szCs w:val="12"/>
                <w:color w:val="auto"/>
              </w:rPr>
              <w:t>4,826</w:t>
            </w:r>
          </w:p>
        </w:tc>
        <w:tc>
          <w:tcPr>
            <w:tcW w:w="1620" w:type="dxa"/>
            <w:vAlign w:val="bottom"/>
            <w:shd w:val="clear" w:color="auto" w:fill="CCEEFF"/>
          </w:tcPr>
          <w:p>
            <w:pPr>
              <w:jc w:val="right"/>
              <w:ind w:right="640"/>
              <w:spacing w:after="0"/>
              <w:rPr>
                <w:sz w:val="20"/>
                <w:szCs w:val="20"/>
                <w:color w:val="auto"/>
              </w:rPr>
            </w:pPr>
            <w:r>
              <w:rPr>
                <w:rFonts w:ascii="Arial" w:cs="Arial" w:eastAsia="Arial" w:hAnsi="Arial"/>
                <w:sz w:val="12"/>
                <w:szCs w:val="12"/>
                <w:color w:val="auto"/>
              </w:rPr>
              <w:t>9,612</w:t>
            </w: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9,913</w:t>
            </w:r>
          </w:p>
        </w:tc>
      </w:tr>
      <w:tr>
        <w:trPr>
          <w:trHeight w:val="153"/>
        </w:trPr>
        <w:tc>
          <w:tcPr>
            <w:tcW w:w="4440" w:type="dxa"/>
            <w:vAlign w:val="bottom"/>
          </w:tcPr>
          <w:p>
            <w:pPr>
              <w:spacing w:after="0"/>
              <w:rPr>
                <w:sz w:val="20"/>
                <w:szCs w:val="20"/>
                <w:color w:val="auto"/>
              </w:rPr>
            </w:pPr>
            <w:r>
              <w:rPr>
                <w:rFonts w:ascii="Arial" w:cs="Arial" w:eastAsia="Arial" w:hAnsi="Arial"/>
                <w:sz w:val="12"/>
                <w:szCs w:val="12"/>
                <w:color w:val="auto"/>
              </w:rPr>
              <w:t>Exited operations</w:t>
            </w:r>
          </w:p>
        </w:tc>
        <w:tc>
          <w:tcPr>
            <w:tcW w:w="3440" w:type="dxa"/>
            <w:vAlign w:val="bottom"/>
          </w:tcPr>
          <w:p>
            <w:pPr>
              <w:jc w:val="right"/>
              <w:ind w:right="680"/>
              <w:spacing w:after="0"/>
              <w:rPr>
                <w:sz w:val="20"/>
                <w:szCs w:val="20"/>
                <w:color w:val="auto"/>
              </w:rPr>
            </w:pPr>
            <w:r>
              <w:rPr>
                <w:rFonts w:ascii="Arial" w:cs="Arial" w:eastAsia="Arial" w:hAnsi="Arial"/>
                <w:sz w:val="12"/>
                <w:szCs w:val="12"/>
                <w:color w:val="auto"/>
              </w:rPr>
              <w:t>—</w:t>
            </w:r>
          </w:p>
        </w:tc>
        <w:tc>
          <w:tcPr>
            <w:tcW w:w="1080" w:type="dxa"/>
            <w:vAlign w:val="bottom"/>
          </w:tcPr>
          <w:p>
            <w:pPr>
              <w:jc w:val="right"/>
              <w:ind w:right="400"/>
              <w:spacing w:after="0"/>
              <w:rPr>
                <w:sz w:val="20"/>
                <w:szCs w:val="20"/>
                <w:color w:val="auto"/>
              </w:rPr>
            </w:pPr>
            <w:r>
              <w:rPr>
                <w:rFonts w:ascii="Arial" w:cs="Arial" w:eastAsia="Arial" w:hAnsi="Arial"/>
                <w:sz w:val="12"/>
                <w:szCs w:val="12"/>
                <w:color w:val="auto"/>
              </w:rPr>
              <w:t>—</w:t>
            </w:r>
          </w:p>
        </w:tc>
        <w:tc>
          <w:tcPr>
            <w:tcW w:w="1620" w:type="dxa"/>
            <w:vAlign w:val="bottom"/>
          </w:tcPr>
          <w:p>
            <w:pPr>
              <w:jc w:val="right"/>
              <w:ind w:right="640"/>
              <w:spacing w:after="0"/>
              <w:rPr>
                <w:sz w:val="20"/>
                <w:szCs w:val="20"/>
                <w:color w:val="auto"/>
              </w:rPr>
            </w:pPr>
            <w:r>
              <w:rPr>
                <w:rFonts w:ascii="Arial" w:cs="Arial" w:eastAsia="Arial" w:hAnsi="Arial"/>
                <w:sz w:val="12"/>
                <w:szCs w:val="12"/>
                <w:color w:val="auto"/>
              </w:rPr>
              <w:t>—</w:t>
            </w:r>
          </w:p>
        </w:tc>
        <w:tc>
          <w:tcPr>
            <w:tcW w:w="72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53"/>
        </w:trPr>
        <w:tc>
          <w:tcPr>
            <w:tcW w:w="44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2"/>
                <w:szCs w:val="12"/>
                <w:color w:val="auto"/>
              </w:rPr>
              <w:t>Same-store, Digital Other Revenue</w:t>
            </w:r>
          </w:p>
        </w:tc>
        <w:tc>
          <w:tcPr>
            <w:tcW w:w="3440" w:type="dxa"/>
            <w:vAlign w:val="bottom"/>
            <w:tcBorders>
              <w:bottom w:val="single" w:sz="8" w:color="auto"/>
            </w:tcBorders>
            <w:shd w:val="clear" w:color="auto" w:fill="CCEEFF"/>
          </w:tcPr>
          <w:p>
            <w:pPr>
              <w:jc w:val="right"/>
              <w:ind w:right="680"/>
              <w:spacing w:after="0"/>
              <w:rPr>
                <w:sz w:val="20"/>
                <w:szCs w:val="20"/>
                <w:color w:val="auto"/>
              </w:rPr>
            </w:pPr>
            <w:r>
              <w:rPr>
                <w:rFonts w:ascii="Arial" w:cs="Arial" w:eastAsia="Arial" w:hAnsi="Arial"/>
                <w:sz w:val="12"/>
                <w:szCs w:val="12"/>
                <w:color w:val="auto"/>
              </w:rPr>
              <w:t>4,784</w:t>
            </w:r>
          </w:p>
        </w:tc>
        <w:tc>
          <w:tcPr>
            <w:tcW w:w="1080" w:type="dxa"/>
            <w:vAlign w:val="bottom"/>
            <w:tcBorders>
              <w:bottom w:val="single" w:sz="8" w:color="auto"/>
            </w:tcBorders>
            <w:shd w:val="clear" w:color="auto" w:fill="CCEEFF"/>
          </w:tcPr>
          <w:p>
            <w:pPr>
              <w:jc w:val="right"/>
              <w:ind w:right="400"/>
              <w:spacing w:after="0"/>
              <w:rPr>
                <w:sz w:val="20"/>
                <w:szCs w:val="20"/>
                <w:color w:val="auto"/>
              </w:rPr>
            </w:pPr>
            <w:r>
              <w:rPr>
                <w:rFonts w:ascii="Arial" w:cs="Arial" w:eastAsia="Arial" w:hAnsi="Arial"/>
                <w:sz w:val="12"/>
                <w:szCs w:val="12"/>
                <w:color w:val="auto"/>
              </w:rPr>
              <w:t>4,826</w:t>
            </w:r>
          </w:p>
        </w:tc>
        <w:tc>
          <w:tcPr>
            <w:tcW w:w="1620" w:type="dxa"/>
            <w:vAlign w:val="bottom"/>
            <w:tcBorders>
              <w:bottom w:val="single" w:sz="8" w:color="auto"/>
            </w:tcBorders>
            <w:shd w:val="clear" w:color="auto" w:fill="CCEEFF"/>
          </w:tcPr>
          <w:p>
            <w:pPr>
              <w:jc w:val="right"/>
              <w:ind w:right="640"/>
              <w:spacing w:after="0"/>
              <w:rPr>
                <w:sz w:val="20"/>
                <w:szCs w:val="20"/>
                <w:color w:val="auto"/>
              </w:rPr>
            </w:pPr>
            <w:r>
              <w:rPr>
                <w:rFonts w:ascii="Arial" w:cs="Arial" w:eastAsia="Arial" w:hAnsi="Arial"/>
                <w:sz w:val="12"/>
                <w:szCs w:val="12"/>
                <w:color w:val="auto"/>
              </w:rPr>
              <w:t>9,612</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9,913</w:t>
            </w:r>
          </w:p>
        </w:tc>
      </w:tr>
      <w:tr>
        <w:trPr>
          <w:trHeight w:val="142"/>
        </w:trPr>
        <w:tc>
          <w:tcPr>
            <w:tcW w:w="4440" w:type="dxa"/>
            <w:vAlign w:val="bottom"/>
          </w:tcPr>
          <w:p>
            <w:pPr>
              <w:spacing w:after="0"/>
              <w:rPr>
                <w:sz w:val="20"/>
                <w:szCs w:val="20"/>
                <w:color w:val="auto"/>
              </w:rPr>
            </w:pPr>
            <w:r>
              <w:rPr>
                <w:rFonts w:ascii="Arial" w:cs="Arial" w:eastAsia="Arial" w:hAnsi="Arial"/>
                <w:sz w:val="12"/>
                <w:szCs w:val="12"/>
                <w:color w:val="auto"/>
              </w:rPr>
              <w:t>Total Other Revenue</w:t>
            </w:r>
          </w:p>
        </w:tc>
        <w:tc>
          <w:tcPr>
            <w:tcW w:w="3440" w:type="dxa"/>
            <w:vAlign w:val="bottom"/>
          </w:tcPr>
          <w:p>
            <w:pPr>
              <w:jc w:val="right"/>
              <w:ind w:right="680"/>
              <w:spacing w:after="0"/>
              <w:rPr>
                <w:sz w:val="20"/>
                <w:szCs w:val="20"/>
                <w:color w:val="auto"/>
              </w:rPr>
            </w:pPr>
            <w:r>
              <w:rPr>
                <w:rFonts w:ascii="Arial" w:cs="Arial" w:eastAsia="Arial" w:hAnsi="Arial"/>
                <w:sz w:val="12"/>
                <w:szCs w:val="12"/>
                <w:color w:val="auto"/>
              </w:rPr>
              <w:t>11,816</w:t>
            </w:r>
          </w:p>
        </w:tc>
        <w:tc>
          <w:tcPr>
            <w:tcW w:w="1080" w:type="dxa"/>
            <w:vAlign w:val="bottom"/>
          </w:tcPr>
          <w:p>
            <w:pPr>
              <w:jc w:val="right"/>
              <w:ind w:right="400"/>
              <w:spacing w:after="0"/>
              <w:rPr>
                <w:sz w:val="20"/>
                <w:szCs w:val="20"/>
                <w:color w:val="auto"/>
              </w:rPr>
            </w:pPr>
            <w:r>
              <w:rPr>
                <w:rFonts w:ascii="Arial" w:cs="Arial" w:eastAsia="Arial" w:hAnsi="Arial"/>
                <w:sz w:val="12"/>
                <w:szCs w:val="12"/>
                <w:color w:val="auto"/>
              </w:rPr>
              <w:t>12,039</w:t>
            </w:r>
          </w:p>
        </w:tc>
        <w:tc>
          <w:tcPr>
            <w:tcW w:w="1620" w:type="dxa"/>
            <w:vAlign w:val="bottom"/>
          </w:tcPr>
          <w:p>
            <w:pPr>
              <w:jc w:val="right"/>
              <w:ind w:right="640"/>
              <w:spacing w:after="0"/>
              <w:rPr>
                <w:sz w:val="20"/>
                <w:szCs w:val="20"/>
                <w:color w:val="auto"/>
              </w:rPr>
            </w:pPr>
            <w:r>
              <w:rPr>
                <w:rFonts w:ascii="Arial" w:cs="Arial" w:eastAsia="Arial" w:hAnsi="Arial"/>
                <w:sz w:val="12"/>
                <w:szCs w:val="12"/>
                <w:color w:val="auto"/>
              </w:rPr>
              <w:t>24,190</w:t>
            </w:r>
          </w:p>
        </w:tc>
        <w:tc>
          <w:tcPr>
            <w:tcW w:w="720" w:type="dxa"/>
            <w:vAlign w:val="bottom"/>
          </w:tcPr>
          <w:p>
            <w:pPr>
              <w:jc w:val="right"/>
              <w:spacing w:after="0"/>
              <w:rPr>
                <w:sz w:val="20"/>
                <w:szCs w:val="20"/>
                <w:color w:val="auto"/>
              </w:rPr>
            </w:pPr>
            <w:r>
              <w:rPr>
                <w:rFonts w:ascii="Arial" w:cs="Arial" w:eastAsia="Arial" w:hAnsi="Arial"/>
                <w:sz w:val="12"/>
                <w:szCs w:val="12"/>
                <w:color w:val="auto"/>
              </w:rPr>
              <w:t>25,014</w:t>
            </w:r>
          </w:p>
        </w:tc>
      </w:tr>
      <w:tr>
        <w:trPr>
          <w:trHeight w:val="153"/>
        </w:trPr>
        <w:tc>
          <w:tcPr>
            <w:tcW w:w="4440" w:type="dxa"/>
            <w:vAlign w:val="bottom"/>
            <w:shd w:val="clear" w:color="auto" w:fill="CCEEFF"/>
          </w:tcPr>
          <w:p>
            <w:pPr>
              <w:spacing w:after="0"/>
              <w:rPr>
                <w:sz w:val="20"/>
                <w:szCs w:val="20"/>
                <w:color w:val="auto"/>
              </w:rPr>
            </w:pPr>
            <w:r>
              <w:rPr>
                <w:rFonts w:ascii="Arial" w:cs="Arial" w:eastAsia="Arial" w:hAnsi="Arial"/>
                <w:sz w:val="12"/>
                <w:szCs w:val="12"/>
                <w:color w:val="auto"/>
              </w:rPr>
              <w:t>Exited operations</w:t>
            </w:r>
          </w:p>
        </w:tc>
        <w:tc>
          <w:tcPr>
            <w:tcW w:w="3440" w:type="dxa"/>
            <w:vAlign w:val="bottom"/>
            <w:shd w:val="clear" w:color="auto" w:fill="CCEEFF"/>
          </w:tcPr>
          <w:p>
            <w:pPr>
              <w:jc w:val="right"/>
              <w:ind w:right="680"/>
              <w:spacing w:after="0"/>
              <w:rPr>
                <w:sz w:val="20"/>
                <w:szCs w:val="20"/>
                <w:color w:val="auto"/>
              </w:rPr>
            </w:pPr>
            <w:r>
              <w:rPr>
                <w:rFonts w:ascii="Arial" w:cs="Arial" w:eastAsia="Arial" w:hAnsi="Arial"/>
                <w:sz w:val="12"/>
                <w:szCs w:val="12"/>
                <w:color w:val="auto"/>
              </w:rPr>
              <w:t>—</w:t>
            </w:r>
          </w:p>
        </w:tc>
        <w:tc>
          <w:tcPr>
            <w:tcW w:w="1080" w:type="dxa"/>
            <w:vAlign w:val="bottom"/>
            <w:shd w:val="clear" w:color="auto" w:fill="CCEEFF"/>
          </w:tcPr>
          <w:p>
            <w:pPr>
              <w:jc w:val="right"/>
              <w:ind w:right="400"/>
              <w:spacing w:after="0"/>
              <w:rPr>
                <w:sz w:val="20"/>
                <w:szCs w:val="20"/>
                <w:color w:val="auto"/>
              </w:rPr>
            </w:pPr>
            <w:r>
              <w:rPr>
                <w:rFonts w:ascii="Arial" w:cs="Arial" w:eastAsia="Arial" w:hAnsi="Arial"/>
                <w:sz w:val="12"/>
                <w:szCs w:val="12"/>
                <w:color w:val="auto"/>
              </w:rPr>
              <w:t>—</w:t>
            </w:r>
          </w:p>
        </w:tc>
        <w:tc>
          <w:tcPr>
            <w:tcW w:w="1620" w:type="dxa"/>
            <w:vAlign w:val="bottom"/>
            <w:shd w:val="clear" w:color="auto" w:fill="CCEEFF"/>
          </w:tcPr>
          <w:p>
            <w:pPr>
              <w:jc w:val="right"/>
              <w:ind w:right="640"/>
              <w:spacing w:after="0"/>
              <w:rPr>
                <w:sz w:val="20"/>
                <w:szCs w:val="20"/>
                <w:color w:val="auto"/>
              </w:rPr>
            </w:pPr>
            <w:r>
              <w:rPr>
                <w:rFonts w:ascii="Arial" w:cs="Arial" w:eastAsia="Arial" w:hAnsi="Arial"/>
                <w:sz w:val="12"/>
                <w:szCs w:val="12"/>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r>
      <w:tr>
        <w:trPr>
          <w:trHeight w:val="153"/>
        </w:trPr>
        <w:tc>
          <w:tcPr>
            <w:tcW w:w="444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Same-store, Total Other Revenue</w:t>
            </w:r>
          </w:p>
        </w:tc>
        <w:tc>
          <w:tcPr>
            <w:tcW w:w="3440" w:type="dxa"/>
            <w:vAlign w:val="bottom"/>
            <w:tcBorders>
              <w:bottom w:val="single" w:sz="8" w:color="auto"/>
            </w:tcBorders>
          </w:tcPr>
          <w:p>
            <w:pPr>
              <w:jc w:val="right"/>
              <w:ind w:right="680"/>
              <w:spacing w:after="0"/>
              <w:rPr>
                <w:sz w:val="20"/>
                <w:szCs w:val="20"/>
                <w:color w:val="auto"/>
              </w:rPr>
            </w:pPr>
            <w:r>
              <w:rPr>
                <w:rFonts w:ascii="Arial" w:cs="Arial" w:eastAsia="Arial" w:hAnsi="Arial"/>
                <w:sz w:val="12"/>
                <w:szCs w:val="12"/>
                <w:color w:val="auto"/>
              </w:rPr>
              <w:t>11,816</w:t>
            </w:r>
          </w:p>
        </w:tc>
        <w:tc>
          <w:tcPr>
            <w:tcW w:w="1080" w:type="dxa"/>
            <w:vAlign w:val="bottom"/>
            <w:tcBorders>
              <w:bottom w:val="single" w:sz="8" w:color="auto"/>
            </w:tcBorders>
          </w:tcPr>
          <w:p>
            <w:pPr>
              <w:jc w:val="right"/>
              <w:ind w:right="400"/>
              <w:spacing w:after="0"/>
              <w:rPr>
                <w:sz w:val="20"/>
                <w:szCs w:val="20"/>
                <w:color w:val="auto"/>
              </w:rPr>
            </w:pPr>
            <w:r>
              <w:rPr>
                <w:rFonts w:ascii="Arial" w:cs="Arial" w:eastAsia="Arial" w:hAnsi="Arial"/>
                <w:sz w:val="12"/>
                <w:szCs w:val="12"/>
                <w:color w:val="auto"/>
              </w:rPr>
              <w:t>12,039</w:t>
            </w:r>
          </w:p>
        </w:tc>
        <w:tc>
          <w:tcPr>
            <w:tcW w:w="1620" w:type="dxa"/>
            <w:vAlign w:val="bottom"/>
            <w:tcBorders>
              <w:bottom w:val="single" w:sz="8" w:color="auto"/>
            </w:tcBorders>
          </w:tcPr>
          <w:p>
            <w:pPr>
              <w:jc w:val="right"/>
              <w:ind w:right="640"/>
              <w:spacing w:after="0"/>
              <w:rPr>
                <w:sz w:val="20"/>
                <w:szCs w:val="20"/>
                <w:color w:val="auto"/>
              </w:rPr>
            </w:pPr>
            <w:r>
              <w:rPr>
                <w:rFonts w:ascii="Arial" w:cs="Arial" w:eastAsia="Arial" w:hAnsi="Arial"/>
                <w:sz w:val="12"/>
                <w:szCs w:val="12"/>
                <w:color w:val="auto"/>
              </w:rPr>
              <w:t>24,190</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25,014</w:t>
            </w:r>
          </w:p>
        </w:tc>
      </w:tr>
      <w:tr>
        <w:trPr>
          <w:trHeight w:val="142"/>
        </w:trPr>
        <w:tc>
          <w:tcPr>
            <w:tcW w:w="4440" w:type="dxa"/>
            <w:vAlign w:val="bottom"/>
            <w:shd w:val="clear" w:color="auto" w:fill="CCEEFF"/>
          </w:tcPr>
          <w:p>
            <w:pPr>
              <w:spacing w:after="0"/>
              <w:rPr>
                <w:sz w:val="20"/>
                <w:szCs w:val="20"/>
                <w:color w:val="auto"/>
              </w:rPr>
            </w:pPr>
            <w:r>
              <w:rPr>
                <w:rFonts w:ascii="Arial" w:cs="Arial" w:eastAsia="Arial" w:hAnsi="Arial"/>
                <w:sz w:val="12"/>
                <w:szCs w:val="12"/>
                <w:color w:val="auto"/>
              </w:rPr>
              <w:t>Total Operating Revenue</w:t>
            </w:r>
          </w:p>
        </w:tc>
        <w:tc>
          <w:tcPr>
            <w:tcW w:w="3440" w:type="dxa"/>
            <w:vAlign w:val="bottom"/>
            <w:shd w:val="clear" w:color="auto" w:fill="CCEEFF"/>
          </w:tcPr>
          <w:p>
            <w:pPr>
              <w:jc w:val="right"/>
              <w:ind w:right="680"/>
              <w:spacing w:after="0"/>
              <w:rPr>
                <w:sz w:val="20"/>
                <w:szCs w:val="20"/>
                <w:color w:val="auto"/>
              </w:rPr>
            </w:pPr>
            <w:r>
              <w:rPr>
                <w:rFonts w:ascii="Arial" w:cs="Arial" w:eastAsia="Arial" w:hAnsi="Arial"/>
                <w:sz w:val="12"/>
                <w:szCs w:val="12"/>
                <w:color w:val="auto"/>
              </w:rPr>
              <w:t>121,964</w:t>
            </w:r>
          </w:p>
        </w:tc>
        <w:tc>
          <w:tcPr>
            <w:tcW w:w="1080" w:type="dxa"/>
            <w:vAlign w:val="bottom"/>
            <w:shd w:val="clear" w:color="auto" w:fill="CCEEFF"/>
          </w:tcPr>
          <w:p>
            <w:pPr>
              <w:jc w:val="right"/>
              <w:ind w:right="400"/>
              <w:spacing w:after="0"/>
              <w:rPr>
                <w:sz w:val="20"/>
                <w:szCs w:val="20"/>
                <w:color w:val="auto"/>
              </w:rPr>
            </w:pPr>
            <w:r>
              <w:rPr>
                <w:rFonts w:ascii="Arial" w:cs="Arial" w:eastAsia="Arial" w:hAnsi="Arial"/>
                <w:sz w:val="12"/>
                <w:szCs w:val="12"/>
                <w:color w:val="auto"/>
              </w:rPr>
              <w:t>137,380</w:t>
            </w:r>
          </w:p>
        </w:tc>
        <w:tc>
          <w:tcPr>
            <w:tcW w:w="1620" w:type="dxa"/>
            <w:vAlign w:val="bottom"/>
            <w:shd w:val="clear" w:color="auto" w:fill="CCEEFF"/>
          </w:tcPr>
          <w:p>
            <w:pPr>
              <w:jc w:val="right"/>
              <w:ind w:right="640"/>
              <w:spacing w:after="0"/>
              <w:rPr>
                <w:sz w:val="20"/>
                <w:szCs w:val="20"/>
                <w:color w:val="auto"/>
              </w:rPr>
            </w:pPr>
            <w:r>
              <w:rPr>
                <w:rFonts w:ascii="Arial" w:cs="Arial" w:eastAsia="Arial" w:hAnsi="Arial"/>
                <w:sz w:val="12"/>
                <w:szCs w:val="12"/>
                <w:color w:val="auto"/>
              </w:rPr>
              <w:t>252,026</w:t>
            </w: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281,942</w:t>
            </w:r>
          </w:p>
        </w:tc>
      </w:tr>
      <w:tr>
        <w:trPr>
          <w:trHeight w:val="153"/>
        </w:trPr>
        <w:tc>
          <w:tcPr>
            <w:tcW w:w="4440" w:type="dxa"/>
            <w:vAlign w:val="bottom"/>
          </w:tcPr>
          <w:p>
            <w:pPr>
              <w:spacing w:after="0"/>
              <w:rPr>
                <w:sz w:val="20"/>
                <w:szCs w:val="20"/>
                <w:color w:val="auto"/>
              </w:rPr>
            </w:pPr>
            <w:r>
              <w:rPr>
                <w:rFonts w:ascii="Arial" w:cs="Arial" w:eastAsia="Arial" w:hAnsi="Arial"/>
                <w:sz w:val="12"/>
                <w:szCs w:val="12"/>
                <w:color w:val="auto"/>
              </w:rPr>
              <w:t>Exited operations</w:t>
            </w:r>
          </w:p>
        </w:tc>
        <w:tc>
          <w:tcPr>
            <w:tcW w:w="3440" w:type="dxa"/>
            <w:vAlign w:val="bottom"/>
          </w:tcPr>
          <w:p>
            <w:pPr>
              <w:jc w:val="right"/>
              <w:ind w:right="640"/>
              <w:spacing w:after="0"/>
              <w:rPr>
                <w:sz w:val="20"/>
                <w:szCs w:val="20"/>
                <w:color w:val="auto"/>
              </w:rPr>
            </w:pPr>
            <w:r>
              <w:rPr>
                <w:rFonts w:ascii="Arial" w:cs="Arial" w:eastAsia="Arial" w:hAnsi="Arial"/>
                <w:sz w:val="12"/>
                <w:szCs w:val="12"/>
                <w:color w:val="auto"/>
              </w:rPr>
              <w:t>(736)</w:t>
            </w:r>
          </w:p>
        </w:tc>
        <w:tc>
          <w:tcPr>
            <w:tcW w:w="1080" w:type="dxa"/>
            <w:vAlign w:val="bottom"/>
          </w:tcPr>
          <w:p>
            <w:pPr>
              <w:jc w:val="right"/>
              <w:ind w:right="360"/>
              <w:spacing w:after="0"/>
              <w:rPr>
                <w:sz w:val="20"/>
                <w:szCs w:val="20"/>
                <w:color w:val="auto"/>
              </w:rPr>
            </w:pPr>
            <w:r>
              <w:rPr>
                <w:rFonts w:ascii="Arial" w:cs="Arial" w:eastAsia="Arial" w:hAnsi="Arial"/>
                <w:sz w:val="12"/>
                <w:szCs w:val="12"/>
                <w:color w:val="auto"/>
              </w:rPr>
              <w:t>(3,640)</w:t>
            </w:r>
          </w:p>
        </w:tc>
        <w:tc>
          <w:tcPr>
            <w:tcW w:w="1620" w:type="dxa"/>
            <w:vAlign w:val="bottom"/>
          </w:tcPr>
          <w:p>
            <w:pPr>
              <w:jc w:val="right"/>
              <w:ind w:right="600"/>
              <w:spacing w:after="0"/>
              <w:rPr>
                <w:sz w:val="20"/>
                <w:szCs w:val="20"/>
                <w:color w:val="auto"/>
              </w:rPr>
            </w:pPr>
            <w:r>
              <w:rPr>
                <w:rFonts w:ascii="Arial" w:cs="Arial" w:eastAsia="Arial" w:hAnsi="Arial"/>
                <w:sz w:val="12"/>
                <w:szCs w:val="12"/>
                <w:color w:val="auto"/>
              </w:rPr>
              <w:t>(3,172)</w:t>
            </w:r>
          </w:p>
        </w:tc>
        <w:tc>
          <w:tcPr>
            <w:tcW w:w="720" w:type="dxa"/>
            <w:vAlign w:val="bottom"/>
          </w:tcPr>
          <w:p>
            <w:pPr>
              <w:jc w:val="right"/>
              <w:spacing w:after="0"/>
              <w:rPr>
                <w:sz w:val="20"/>
                <w:szCs w:val="20"/>
                <w:color w:val="auto"/>
              </w:rPr>
            </w:pPr>
            <w:r>
              <w:rPr>
                <w:rFonts w:ascii="Arial" w:cs="Arial" w:eastAsia="Arial" w:hAnsi="Arial"/>
                <w:sz w:val="12"/>
                <w:szCs w:val="12"/>
                <w:color w:val="auto"/>
              </w:rPr>
              <w:t>(7,658)</w:t>
            </w:r>
          </w:p>
        </w:tc>
      </w:tr>
      <w:tr>
        <w:trPr>
          <w:trHeight w:val="153"/>
        </w:trPr>
        <w:tc>
          <w:tcPr>
            <w:tcW w:w="44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2"/>
                <w:szCs w:val="12"/>
                <w:color w:val="auto"/>
              </w:rPr>
              <w:t>Same-store, Total Operating Revenue</w:t>
            </w:r>
          </w:p>
        </w:tc>
        <w:tc>
          <w:tcPr>
            <w:tcW w:w="3440" w:type="dxa"/>
            <w:vAlign w:val="bottom"/>
            <w:tcBorders>
              <w:bottom w:val="single" w:sz="8" w:color="auto"/>
            </w:tcBorders>
            <w:shd w:val="clear" w:color="auto" w:fill="CCEEFF"/>
          </w:tcPr>
          <w:p>
            <w:pPr>
              <w:jc w:val="right"/>
              <w:ind w:right="680"/>
              <w:spacing w:after="0"/>
              <w:rPr>
                <w:sz w:val="20"/>
                <w:szCs w:val="20"/>
                <w:color w:val="auto"/>
              </w:rPr>
            </w:pPr>
            <w:r>
              <w:rPr>
                <w:rFonts w:ascii="Arial" w:cs="Arial" w:eastAsia="Arial" w:hAnsi="Arial"/>
                <w:sz w:val="12"/>
                <w:szCs w:val="12"/>
                <w:color w:val="auto"/>
              </w:rPr>
              <w:t>121,228</w:t>
            </w:r>
          </w:p>
        </w:tc>
        <w:tc>
          <w:tcPr>
            <w:tcW w:w="1080" w:type="dxa"/>
            <w:vAlign w:val="bottom"/>
            <w:tcBorders>
              <w:bottom w:val="single" w:sz="8" w:color="auto"/>
            </w:tcBorders>
            <w:shd w:val="clear" w:color="auto" w:fill="CCEEFF"/>
          </w:tcPr>
          <w:p>
            <w:pPr>
              <w:jc w:val="right"/>
              <w:ind w:right="400"/>
              <w:spacing w:after="0"/>
              <w:rPr>
                <w:sz w:val="20"/>
                <w:szCs w:val="20"/>
                <w:color w:val="auto"/>
              </w:rPr>
            </w:pPr>
            <w:r>
              <w:rPr>
                <w:rFonts w:ascii="Arial" w:cs="Arial" w:eastAsia="Arial" w:hAnsi="Arial"/>
                <w:sz w:val="12"/>
                <w:szCs w:val="12"/>
                <w:color w:val="auto"/>
              </w:rPr>
              <w:t>133,740</w:t>
            </w:r>
          </w:p>
        </w:tc>
        <w:tc>
          <w:tcPr>
            <w:tcW w:w="1620" w:type="dxa"/>
            <w:vAlign w:val="bottom"/>
            <w:tcBorders>
              <w:bottom w:val="single" w:sz="8" w:color="auto"/>
            </w:tcBorders>
            <w:shd w:val="clear" w:color="auto" w:fill="CCEEFF"/>
          </w:tcPr>
          <w:p>
            <w:pPr>
              <w:jc w:val="right"/>
              <w:ind w:right="640"/>
              <w:spacing w:after="0"/>
              <w:rPr>
                <w:sz w:val="20"/>
                <w:szCs w:val="20"/>
                <w:color w:val="auto"/>
              </w:rPr>
            </w:pPr>
            <w:r>
              <w:rPr>
                <w:rFonts w:ascii="Arial" w:cs="Arial" w:eastAsia="Arial" w:hAnsi="Arial"/>
                <w:sz w:val="12"/>
                <w:szCs w:val="12"/>
                <w:color w:val="auto"/>
              </w:rPr>
              <w:t>248,854</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274,284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7</w:t>
      </w:r>
    </w:p>
    <w:p>
      <w:pPr>
        <w:sectPr>
          <w:pgSz w:w="11900" w:h="16838" w:orient="portrait"/>
          <w:cols w:equalWidth="0" w:num="1">
            <w:col w:w="11300"/>
          </w:cols>
          <w:pgMar w:left="300" w:top="784" w:right="299" w:bottom="1440" w:gutter="0" w:footer="0" w:header="0"/>
        </w:sectPr>
      </w:pPr>
    </w:p>
    <w:bookmarkStart w:id="10" w:name="page11"/>
    <w:bookmarkEnd w:id="10"/>
    <w:p>
      <w:pPr>
        <w:ind w:left="8"/>
        <w:spacing w:after="0"/>
        <w:rPr>
          <w:sz w:val="20"/>
          <w:szCs w:val="20"/>
          <w:color w:val="auto"/>
        </w:rPr>
      </w:pPr>
      <w:r>
        <w:rPr>
          <w:rFonts w:ascii="Arial" w:cs="Arial" w:eastAsia="Arial" w:hAnsi="Arial"/>
          <w:sz w:val="12"/>
          <w:szCs w:val="12"/>
          <w:b w:val="1"/>
          <w:bCs w:val="1"/>
          <w:color w:val="auto"/>
        </w:rPr>
        <w:t>NOTES</w:t>
      </w:r>
    </w:p>
    <w:p>
      <w:pPr>
        <w:spacing w:after="0" w:line="132" w:lineRule="exact"/>
        <w:rPr>
          <w:sz w:val="20"/>
          <w:szCs w:val="20"/>
          <w:color w:val="auto"/>
        </w:rPr>
      </w:pPr>
    </w:p>
    <w:p>
      <w:pPr>
        <w:ind w:left="528" w:hanging="528"/>
        <w:spacing w:after="0"/>
        <w:tabs>
          <w:tab w:leader="none" w:pos="528" w:val="left"/>
        </w:tabs>
        <w:numPr>
          <w:ilvl w:val="0"/>
          <w:numId w:val="6"/>
        </w:numPr>
        <w:rPr>
          <w:rFonts w:ascii="Arial" w:cs="Arial" w:eastAsia="Arial" w:hAnsi="Arial"/>
          <w:sz w:val="12"/>
          <w:szCs w:val="12"/>
          <w:color w:val="auto"/>
        </w:rPr>
      </w:pPr>
      <w:r>
        <w:rPr>
          <w:rFonts w:ascii="Arial" w:cs="Arial" w:eastAsia="Arial" w:hAnsi="Arial"/>
          <w:sz w:val="12"/>
          <w:szCs w:val="12"/>
          <w:color w:val="auto"/>
        </w:rPr>
        <w:t>The following are non-GAAP (Generally Accepted Accounting Principles) financial measures for which reconciliations to relevant U.S GAAP measures are included in tables accompanying this release:</w:t>
      </w:r>
    </w:p>
    <w:p>
      <w:pPr>
        <w:spacing w:after="0" w:line="123" w:lineRule="exact"/>
        <w:rPr>
          <w:rFonts w:ascii="Arial" w:cs="Arial" w:eastAsia="Arial" w:hAnsi="Arial"/>
          <w:sz w:val="12"/>
          <w:szCs w:val="12"/>
          <w:color w:val="auto"/>
        </w:rPr>
      </w:pPr>
    </w:p>
    <w:p>
      <w:pPr>
        <w:jc w:val="both"/>
        <w:ind w:left="1028" w:hanging="488"/>
        <w:spacing w:after="0" w:line="256" w:lineRule="auto"/>
        <w:tabs>
          <w:tab w:leader="none" w:pos="1025" w:val="left"/>
        </w:tabs>
        <w:numPr>
          <w:ilvl w:val="1"/>
          <w:numId w:val="6"/>
        </w:numPr>
        <w:rPr>
          <w:rFonts w:ascii="Arial" w:cs="Arial" w:eastAsia="Arial" w:hAnsi="Arial"/>
          <w:sz w:val="12"/>
          <w:szCs w:val="12"/>
          <w:color w:val="auto"/>
        </w:rPr>
      </w:pPr>
      <w:r>
        <w:rPr>
          <w:rFonts w:ascii="Arial" w:cs="Arial" w:eastAsia="Arial" w:hAnsi="Arial"/>
          <w:sz w:val="12"/>
          <w:szCs w:val="12"/>
          <w:i w:val="1"/>
          <w:iCs w:val="1"/>
          <w:color w:val="auto"/>
        </w:rPr>
        <w:t xml:space="preserve">Adjusted EBITDA </w:t>
      </w:r>
      <w:r>
        <w:rPr>
          <w:rFonts w:ascii="Arial" w:cs="Arial" w:eastAsia="Arial" w:hAnsi="Arial"/>
          <w:sz w:val="12"/>
          <w:szCs w:val="12"/>
          <w:color w:val="auto"/>
        </w:rPr>
        <w:t>is a non-GAAP financial performance measure that enhances financial statement users overall understanding of the operating performance of the Company. The measure</w:t>
      </w:r>
      <w:r>
        <w:rPr>
          <w:rFonts w:ascii="Arial" w:cs="Arial" w:eastAsia="Arial" w:hAnsi="Arial"/>
          <w:sz w:val="12"/>
          <w:szCs w:val="12"/>
          <w:i w:val="1"/>
          <w:iCs w:val="1"/>
          <w:color w:val="auto"/>
        </w:rPr>
        <w:t xml:space="preserve"> </w:t>
      </w:r>
      <w:r>
        <w:rPr>
          <w:rFonts w:ascii="Arial" w:cs="Arial" w:eastAsia="Arial" w:hAnsi="Arial"/>
          <w:sz w:val="12"/>
          <w:szCs w:val="12"/>
          <w:color w:val="auto"/>
        </w:rPr>
        <w:t>isolates unusual, infrequent or non-cash transactions from the operating performance of the business. This allows users to easily compare operating performance among various fiscal periods and how management measures the performance of the business. This measure also provides users with a benchmark that can be used when forecasting future operating performance of the Company that excludes unusual, nonrecurring or one-time transactions. Adjusted EBITDA is a component of the calculation used by stockholders and analysts to determine the value of our business when using the market approach, which applies a market multiple to financial metrics. It is also a measure used to calculate the leverage ratio of the Company, which is a key financial ratio monitored and used by the Company and its investors. Adjusted EBITDA is defined as net income (loss), plus non-operating expenses, income tax expense, depreciation and amortization, assets loss (gain) on sales, impairments and other, restructuring costs and other, stock compensation and our 50% share of EBITDA from TNI and MNI, minus equity in earnings of TNI and MNI.</w:t>
      </w:r>
    </w:p>
    <w:p>
      <w:pPr>
        <w:spacing w:after="0" w:line="94" w:lineRule="exact"/>
        <w:rPr>
          <w:rFonts w:ascii="Arial" w:cs="Arial" w:eastAsia="Arial" w:hAnsi="Arial"/>
          <w:sz w:val="12"/>
          <w:szCs w:val="12"/>
          <w:color w:val="auto"/>
        </w:rPr>
      </w:pPr>
    </w:p>
    <w:p>
      <w:pPr>
        <w:jc w:val="both"/>
        <w:ind w:left="1028" w:hanging="488"/>
        <w:spacing w:after="0" w:line="259" w:lineRule="auto"/>
        <w:tabs>
          <w:tab w:leader="none" w:pos="1025" w:val="left"/>
        </w:tabs>
        <w:numPr>
          <w:ilvl w:val="1"/>
          <w:numId w:val="6"/>
        </w:numPr>
        <w:rPr>
          <w:rFonts w:ascii="Arial" w:cs="Arial" w:eastAsia="Arial" w:hAnsi="Arial"/>
          <w:sz w:val="12"/>
          <w:szCs w:val="12"/>
          <w:color w:val="auto"/>
        </w:rPr>
      </w:pPr>
      <w:r>
        <w:rPr>
          <w:rFonts w:ascii="Arial" w:cs="Arial" w:eastAsia="Arial" w:hAnsi="Arial"/>
          <w:sz w:val="12"/>
          <w:szCs w:val="12"/>
          <w:color w:val="auto"/>
        </w:rPr>
        <w:t>Cash Costs represent a non-GAAP financial performance measure of operating expenses which are measured on an accrual basis and settled in cash. This measure is useful to investors in understanding the components of the Company’s cash-settled operating costs. Periodically, the Company provides forward-looking guidance of Cash Costs, which can be used by financial statement users to assess the Company's ability to manage and control its operating cost structure. Cash Costs are defined as compensation, newsprint and ink and other operating expenses. Depreciation and amortization, assets loss (gain) on sales, impairments and other, other non-cash operating expenses and other expenses are excluded. Cash Costs also exclude restructuring costs and other, which are typically paid in cash.</w:t>
      </w:r>
    </w:p>
    <w:p>
      <w:pPr>
        <w:spacing w:after="0" w:line="100" w:lineRule="exact"/>
        <w:rPr>
          <w:rFonts w:ascii="Arial" w:cs="Arial" w:eastAsia="Arial" w:hAnsi="Arial"/>
          <w:sz w:val="12"/>
          <w:szCs w:val="12"/>
          <w:color w:val="auto"/>
        </w:rPr>
      </w:pPr>
    </w:p>
    <w:p>
      <w:pPr>
        <w:ind w:left="528" w:hanging="528"/>
        <w:spacing w:after="0"/>
        <w:tabs>
          <w:tab w:leader="none" w:pos="528" w:val="left"/>
        </w:tabs>
        <w:numPr>
          <w:ilvl w:val="0"/>
          <w:numId w:val="6"/>
        </w:numPr>
        <w:rPr>
          <w:rFonts w:ascii="Arial" w:cs="Arial" w:eastAsia="Arial" w:hAnsi="Arial"/>
          <w:sz w:val="12"/>
          <w:szCs w:val="12"/>
          <w:color w:val="auto"/>
        </w:rPr>
      </w:pPr>
      <w:r>
        <w:rPr>
          <w:rFonts w:ascii="Arial" w:cs="Arial" w:eastAsia="Arial" w:hAnsi="Arial"/>
          <w:sz w:val="12"/>
          <w:szCs w:val="12"/>
          <w:color w:val="auto"/>
        </w:rPr>
        <w:t>Total Digital Revenue is defined as digital advertising and marketing services revenue (including Amplified Digital</w:t>
      </w:r>
      <w:r>
        <w:rPr>
          <w:rFonts w:ascii="Arial" w:cs="Arial" w:eastAsia="Arial" w:hAnsi="Arial"/>
          <w:sz w:val="15"/>
          <w:szCs w:val="15"/>
          <w:color w:val="auto"/>
          <w:vertAlign w:val="superscript"/>
        </w:rPr>
        <w:t>®</w:t>
      </w:r>
      <w:r>
        <w:rPr>
          <w:rFonts w:ascii="Arial" w:cs="Arial" w:eastAsia="Arial" w:hAnsi="Arial"/>
          <w:sz w:val="12"/>
          <w:szCs w:val="12"/>
          <w:color w:val="auto"/>
        </w:rPr>
        <w:t>), digital-only subscription revenue and digital services revenue.</w:t>
      </w:r>
    </w:p>
    <w:p>
      <w:pPr>
        <w:spacing w:after="0" w:line="89" w:lineRule="exact"/>
        <w:rPr>
          <w:rFonts w:ascii="Arial" w:cs="Arial" w:eastAsia="Arial" w:hAnsi="Arial"/>
          <w:sz w:val="12"/>
          <w:szCs w:val="12"/>
          <w:color w:val="auto"/>
        </w:rPr>
      </w:pPr>
    </w:p>
    <w:p>
      <w:pPr>
        <w:jc w:val="both"/>
        <w:ind w:left="548" w:hanging="548"/>
        <w:spacing w:after="0" w:line="257" w:lineRule="auto"/>
        <w:tabs>
          <w:tab w:leader="none" w:pos="542" w:val="left"/>
        </w:tabs>
        <w:numPr>
          <w:ilvl w:val="0"/>
          <w:numId w:val="6"/>
        </w:numPr>
        <w:rPr>
          <w:rFonts w:ascii="Arial" w:cs="Arial" w:eastAsia="Arial" w:hAnsi="Arial"/>
          <w:sz w:val="12"/>
          <w:szCs w:val="12"/>
          <w:color w:val="auto"/>
        </w:rPr>
      </w:pPr>
      <w:r>
        <w:rPr>
          <w:rFonts w:ascii="Arial" w:cs="Arial" w:eastAsia="Arial" w:hAnsi="Arial"/>
          <w:sz w:val="12"/>
          <w:szCs w:val="12"/>
          <w:color w:val="auto"/>
        </w:rPr>
        <w:t>The Company's debt is the $576 million term loan under a credit agreement with BH Finance LLC dated January 29, 2020 (the "Credit Agreement"). Excess Cash Flow was previously defined under the Credit Agreement as any cash greater than $20.0 million on the balance sheet in accordance with U.S. GAAP at the end of each fiscal quarter, beginning with the quarter ending June 28, 2020. Concurrently with the execution of the Stock Purchase Agreement, we entered into the Second Amendment to the Credit Agreement. The amendments set forth therein became operative upon the Company's receipt of the proceeds from the Private Placement at the Closing. The amendments include a reduction of the applicable margin on our 25-year term loan from 9% to 5% for a period of five years following the closing and amending the definition of Excess Cash Flow such that the minimum amount of cash on hand held by us before being deemed Excess Cash Flow would be equal to $64.0 million.</w:t>
      </w:r>
    </w:p>
    <w:p>
      <w:pPr>
        <w:spacing w:after="0" w:line="94" w:lineRule="exact"/>
        <w:rPr>
          <w:rFonts w:ascii="Arial" w:cs="Arial" w:eastAsia="Arial" w:hAnsi="Arial"/>
          <w:sz w:val="12"/>
          <w:szCs w:val="12"/>
          <w:color w:val="auto"/>
        </w:rPr>
      </w:pPr>
    </w:p>
    <w:p>
      <w:pPr>
        <w:ind w:left="528" w:hanging="528"/>
        <w:spacing w:after="0"/>
        <w:tabs>
          <w:tab w:leader="none" w:pos="528" w:val="left"/>
        </w:tabs>
        <w:numPr>
          <w:ilvl w:val="0"/>
          <w:numId w:val="6"/>
        </w:numPr>
        <w:rPr>
          <w:rFonts w:ascii="Arial" w:cs="Arial" w:eastAsia="Arial" w:hAnsi="Arial"/>
          <w:sz w:val="12"/>
          <w:szCs w:val="12"/>
          <w:color w:val="auto"/>
        </w:rPr>
      </w:pPr>
      <w:r>
        <w:rPr>
          <w:rFonts w:ascii="Arial" w:cs="Arial" w:eastAsia="Arial" w:hAnsi="Arial"/>
          <w:sz w:val="12"/>
          <w:szCs w:val="12"/>
          <w:color w:val="auto"/>
        </w:rPr>
        <w:t>This earnings release is a preliminary report of results for the periods included. The reader should refer to the Company's most recent reports on Form 10-Q and on Form 10-K for definitive information.</w:t>
      </w:r>
    </w:p>
    <w:p>
      <w:pPr>
        <w:spacing w:after="0" w:line="132" w:lineRule="exact"/>
        <w:rPr>
          <w:rFonts w:ascii="Arial" w:cs="Arial" w:eastAsia="Arial" w:hAnsi="Arial"/>
          <w:sz w:val="12"/>
          <w:szCs w:val="12"/>
          <w:color w:val="auto"/>
        </w:rPr>
      </w:pPr>
    </w:p>
    <w:p>
      <w:pPr>
        <w:ind w:left="548" w:right="20" w:hanging="548"/>
        <w:spacing w:after="0" w:line="286" w:lineRule="auto"/>
        <w:tabs>
          <w:tab w:leader="none" w:pos="542" w:val="left"/>
        </w:tabs>
        <w:numPr>
          <w:ilvl w:val="0"/>
          <w:numId w:val="6"/>
        </w:numPr>
        <w:rPr>
          <w:rFonts w:ascii="Arial" w:cs="Arial" w:eastAsia="Arial" w:hAnsi="Arial"/>
          <w:sz w:val="12"/>
          <w:szCs w:val="12"/>
          <w:color w:val="auto"/>
        </w:rPr>
      </w:pPr>
      <w:r>
        <w:rPr>
          <w:rFonts w:ascii="Arial" w:cs="Arial" w:eastAsia="Arial" w:hAnsi="Arial"/>
          <w:sz w:val="12"/>
          <w:szCs w:val="12"/>
          <w:color w:val="auto"/>
        </w:rPr>
        <w:t>Comparable basis is a non-GAAP performance measure based on U.S. GAAP trends for Lee for the current period, excluding the extra week in fiscal 2024. The fourth quarter and full year of fiscal 2025 consisted of 13 weeks and 52 weeks, respectively. The fourth quarter and full year of fiscal 2024 consisted of 14 weeks and 53 weeks, respectively.</w:t>
      </w:r>
    </w:p>
    <w:p>
      <w:pPr>
        <w:spacing w:after="0" w:line="76" w:lineRule="exact"/>
        <w:rPr>
          <w:rFonts w:ascii="Arial" w:cs="Arial" w:eastAsia="Arial" w:hAnsi="Arial"/>
          <w:sz w:val="12"/>
          <w:szCs w:val="12"/>
          <w:color w:val="auto"/>
        </w:rPr>
      </w:pPr>
    </w:p>
    <w:p>
      <w:pPr>
        <w:jc w:val="both"/>
        <w:ind w:left="548" w:hanging="548"/>
        <w:spacing w:after="0" w:line="286" w:lineRule="auto"/>
        <w:tabs>
          <w:tab w:leader="none" w:pos="542" w:val="left"/>
        </w:tabs>
        <w:numPr>
          <w:ilvl w:val="0"/>
          <w:numId w:val="6"/>
        </w:numPr>
        <w:rPr>
          <w:rFonts w:ascii="Arial" w:cs="Arial" w:eastAsia="Arial" w:hAnsi="Arial"/>
          <w:sz w:val="12"/>
          <w:szCs w:val="12"/>
          <w:color w:val="auto"/>
        </w:rPr>
      </w:pPr>
      <w:r>
        <w:rPr>
          <w:rFonts w:ascii="Arial" w:cs="Arial" w:eastAsia="Arial" w:hAnsi="Arial"/>
          <w:sz w:val="12"/>
          <w:szCs w:val="12"/>
          <w:color w:val="auto"/>
        </w:rPr>
        <w:t>FY25 revenue and Adjusted EBITDA were materially impacted by a cyber incident in February 2025. The FY25 impact on revenue and Adjusted EBITDA was approximately $12M and $8M, respectively. These metrics exclude any potential reimbursement from cyber insurance carrier in FY25. For the six months ended March 29, 2026, we received $5.8 million in business interruption reimbursements that</w:t>
      </w:r>
    </w:p>
    <w:p>
      <w:pPr>
        <w:spacing w:after="0" w:line="366"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8</w:t>
      </w:r>
    </w:p>
    <w:p>
      <w:pPr>
        <w:sectPr>
          <w:pgSz w:w="11900" w:h="16838" w:orient="portrait"/>
          <w:cols w:equalWidth="0" w:num="1">
            <w:col w:w="11308"/>
          </w:cols>
          <w:pgMar w:left="292" w:top="784" w:right="299" w:bottom="1440" w:gutter="0" w:footer="0" w:header="0"/>
        </w:sectPr>
      </w:pPr>
    </w:p>
    <w:bookmarkStart w:id="11" w:name="page12"/>
    <w:bookmarkEnd w:id="11"/>
    <w:p>
      <w:pPr>
        <w:ind w:left="548"/>
        <w:spacing w:after="0"/>
        <w:rPr>
          <w:sz w:val="20"/>
          <w:szCs w:val="20"/>
          <w:color w:val="auto"/>
        </w:rPr>
      </w:pPr>
      <w:r>
        <w:rPr>
          <w:rFonts w:ascii="Arial" w:cs="Arial" w:eastAsia="Arial" w:hAnsi="Arial"/>
          <w:sz w:val="11"/>
          <w:szCs w:val="11"/>
          <w:color w:val="auto"/>
        </w:rPr>
        <w:t>were recorded on their own line in "Operating Expenses" and included in Adjusted EBITDA. The remaining business-interruption claims remain under review.</w:t>
      </w:r>
    </w:p>
    <w:p>
      <w:pPr>
        <w:spacing w:after="0" w:line="144" w:lineRule="exact"/>
        <w:rPr>
          <w:sz w:val="20"/>
          <w:szCs w:val="20"/>
          <w:color w:val="auto"/>
        </w:rPr>
      </w:pPr>
    </w:p>
    <w:p>
      <w:pPr>
        <w:ind w:left="528" w:hanging="528"/>
        <w:spacing w:after="0"/>
        <w:tabs>
          <w:tab w:leader="none" w:pos="528" w:val="left"/>
        </w:tabs>
        <w:numPr>
          <w:ilvl w:val="0"/>
          <w:numId w:val="7"/>
        </w:numPr>
        <w:rPr>
          <w:rFonts w:ascii="Arial" w:cs="Arial" w:eastAsia="Arial" w:hAnsi="Arial"/>
          <w:sz w:val="12"/>
          <w:szCs w:val="12"/>
          <w:color w:val="auto"/>
        </w:rPr>
      </w:pPr>
      <w:r>
        <w:rPr>
          <w:rFonts w:ascii="Arial" w:cs="Arial" w:eastAsia="Arial" w:hAnsi="Arial"/>
          <w:sz w:val="12"/>
          <w:szCs w:val="12"/>
          <w:color w:val="auto"/>
        </w:rPr>
        <w:t>TNI refers to TNI Partners publishing operations in Tucson, AZ. MNI refers to Madison Newspapers, Inc. publishing operations in Madison, WI.</w:t>
      </w:r>
    </w:p>
    <w:p>
      <w:pPr>
        <w:spacing w:after="0" w:line="200" w:lineRule="exact"/>
        <w:rPr>
          <w:rFonts w:ascii="Arial" w:cs="Arial" w:eastAsia="Arial" w:hAnsi="Arial"/>
          <w:sz w:val="12"/>
          <w:szCs w:val="12"/>
          <w:color w:val="auto"/>
        </w:rPr>
      </w:pPr>
    </w:p>
    <w:p>
      <w:pPr>
        <w:spacing w:after="0" w:line="203" w:lineRule="exact"/>
        <w:rPr>
          <w:rFonts w:ascii="Arial" w:cs="Arial" w:eastAsia="Arial" w:hAnsi="Arial"/>
          <w:sz w:val="12"/>
          <w:szCs w:val="12"/>
          <w:color w:val="auto"/>
        </w:rPr>
      </w:pPr>
    </w:p>
    <w:p>
      <w:pPr>
        <w:ind w:left="5628"/>
        <w:spacing w:after="0"/>
        <w:rPr>
          <w:rFonts w:ascii="Arial" w:cs="Arial" w:eastAsia="Arial" w:hAnsi="Arial"/>
          <w:sz w:val="12"/>
          <w:szCs w:val="12"/>
          <w:color w:val="auto"/>
        </w:rPr>
      </w:pPr>
      <w:r>
        <w:rPr>
          <w:rFonts w:ascii="Times New Roman" w:cs="Times New Roman" w:eastAsia="Times New Roman" w:hAnsi="Times New Roman"/>
          <w:sz w:val="12"/>
          <w:szCs w:val="12"/>
          <w:color w:val="auto"/>
        </w:rPr>
        <w:t>9</w:t>
      </w:r>
    </w:p>
    <w:p>
      <w:pPr>
        <w:sectPr>
          <w:pgSz w:w="11900" w:h="16838" w:orient="portrait"/>
          <w:cols w:equalWidth="0" w:num="1">
            <w:col w:w="10167"/>
          </w:cols>
          <w:pgMar w:left="292" w:top="784" w:right="1440" w:bottom="1440"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271780</wp:posOffset>
            </wp:positionV>
            <wp:extent cx="7130415" cy="34042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3985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0415" cy="33985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1566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0415" cy="34156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o"/>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1)"/>
      <w:numFmt w:val="decimal"/>
      <w:start w:val="1"/>
    </w:lvl>
    <w:lvl w:ilvl="1">
      <w:lvlJc w:val="left"/>
      <w:lvlText w:val="•"/>
      <w:numFmt w:val="bullet"/>
      <w:start w:val="1"/>
    </w:lvl>
  </w:abstractNum>
  <w:abstractNum w:abstractNumId="6">
    <w:nsid w:val="41B71EFB"/>
    <w:multiLevelType w:val="hybridMultilevel"/>
    <w:lvl w:ilvl="0">
      <w:lvlJc w:val="left"/>
      <w:lvlText w:val="(%1)"/>
      <w:numFmt w:val="decimal"/>
      <w:start w:val="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2026-05-07T12:12:39Z</dcterms:created>
  <dcterms:modified xsi:type="dcterms:W3CDTF">2026-05-07T12:12:39Z</dcterms:modified>
</cp:coreProperties>
</file>