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 w:right="7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Blake, Philip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120"/>
        <w:spacing w:after="0" w:line="23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c/o Lee Enterprises, Incorporated 400 Putnam Bldg.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3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215 N. Main Street, Ste. 400 Davenport, IA 52801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54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Lee Enterprises, Incorporated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LEE ENT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12/31/99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220" w:hanging="255"/>
        <w:spacing w:after="0" w:line="238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 - Publishing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ind w:left="580" w:hanging="327"/>
        <w:spacing w:after="0"/>
        <w:tabs>
          <w:tab w:leader="none" w:pos="58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|10/28/|F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|V|214</w:t>
            </w: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|$29.313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|13,499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|1,918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|10.|11.Nature of|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|Transaction | rivative Secu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|$19.8125|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|11/7/|Common Stock|5,600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|5,600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|$21.50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|10/27|Common Stock|2,800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|$26.6250|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|11/3/|Common Stock|3,500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|$27.188 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|11/15|Common Stock|5,000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|$29.938 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740" w:type="dxa"/>
            <w:vAlign w:val="bottom"/>
            <w:gridSpan w:val="4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|11/9/|Common Stock|15,000 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5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**These securities become exercisable as follows: 30% upon the first anniversary date of the grant; 60% upon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second anniversary date of the grant; and 100% upon the third anniversary date of the grant.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/s/ Philip Blake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2/1/00</w:t>
      </w:r>
    </w:p>
    <w:sectPr>
      <w:pgSz w:w="11900" w:h="16838" w:orient="portrait"/>
      <w:cols w:equalWidth="0" w:num="1">
        <w:col w:w="11100"/>
      </w:cols>
      <w:pgMar w:left="44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2020-10-06T14:43:25Z</dcterms:created>
  <dcterms:modified xsi:type="dcterms:W3CDTF">2020-10-06T14:43:25Z</dcterms:modified>
</cp:coreProperties>
</file>