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740" w:right="4319" w:hanging="732"/>
        <w:spacing w:after="0" w:line="235" w:lineRule="auto"/>
        <w:tabs>
          <w:tab w:leader="none" w:pos="21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Quarterly Report Under Section 13 or 15(d) of the Securities Exchange Act of 1934</w:t>
      </w:r>
    </w:p>
    <w:p>
      <w:pPr>
        <w:spacing w:after="0" w:line="1"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Quarter Ended December 31, 1998</w:t>
      </w:r>
    </w:p>
    <w:p>
      <w:pPr>
        <w:spacing w:after="0" w:line="202"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640" w:right="3679" w:hanging="632"/>
        <w:spacing w:after="0" w:line="235" w:lineRule="auto"/>
        <w:tabs>
          <w:tab w:leader="none" w:pos="3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Commission File Number 1-6227</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Lee Enterprises, Incorporated</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 Delaware Corporation</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#42-0823980</w:t>
      </w:r>
    </w:p>
    <w:p>
      <w:pPr>
        <w:spacing w:after="0" w:line="16" w:lineRule="exact"/>
        <w:rPr>
          <w:sz w:val="24"/>
          <w:szCs w:val="24"/>
          <w:color w:val="auto"/>
        </w:rPr>
      </w:pPr>
    </w:p>
    <w:p>
      <w:pPr>
        <w:sectPr>
          <w:pgSz w:w="11900" w:h="16838" w:orient="portrait"/>
          <w:cols w:equalWidth="0" w:num="3">
            <w:col w:w="5920" w:space="720"/>
            <w:col w:w="420" w:space="220"/>
            <w:col w:w="2939"/>
          </w:cols>
          <w:pgMar w:left="240" w:top="447"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215 N. Main Street</w:t>
      </w:r>
    </w:p>
    <w:p>
      <w:pPr>
        <w:spacing w:after="0"/>
        <w:tabs>
          <w:tab w:leader="none" w:pos="1780" w:val="left"/>
        </w:tabs>
        <w:rPr>
          <w:sz w:val="20"/>
          <w:szCs w:val="20"/>
          <w:color w:val="auto"/>
        </w:rPr>
      </w:pPr>
      <w:r>
        <w:rPr>
          <w:rFonts w:ascii="Courier New" w:cs="Courier New" w:eastAsia="Courier New" w:hAnsi="Courier New"/>
          <w:sz w:val="18"/>
          <w:szCs w:val="18"/>
          <w:color w:val="auto"/>
        </w:rPr>
        <w:t>Davenport, Iowa</w:t>
      </w:r>
      <w:r>
        <w:rPr>
          <w:sz w:val="20"/>
          <w:szCs w:val="20"/>
          <w:color w:val="auto"/>
        </w:rPr>
        <w:tab/>
      </w:r>
      <w:r>
        <w:rPr>
          <w:rFonts w:ascii="Courier New" w:cs="Courier New" w:eastAsia="Courier New" w:hAnsi="Courier New"/>
          <w:sz w:val="16"/>
          <w:szCs w:val="16"/>
          <w:color w:val="auto"/>
        </w:rPr>
        <w:t>52801</w:t>
      </w:r>
    </w:p>
    <w:p>
      <w:pPr>
        <w:spacing w:after="0" w:line="5"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Phone:</w:t>
        <w:tab/>
        <w:t>(319) 383-2100</w:t>
      </w:r>
    </w:p>
    <w:p>
      <w:pPr>
        <w:sectPr>
          <w:pgSz w:w="11900" w:h="16838"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a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X ] No [ ]</w:t>
      </w:r>
    </w:p>
    <w:p>
      <w:pPr>
        <w:spacing w:after="0" w:line="209" w:lineRule="exact"/>
        <w:rPr>
          <w:sz w:val="24"/>
          <w:szCs w:val="24"/>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practical date.</w:t>
      </w: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120" w:type="dxa"/>
            <w:vAlign w:val="bottom"/>
            <w:gridSpan w:val="2"/>
          </w:tcPr>
          <w:p>
            <w:pPr>
              <w:ind w:left="2320"/>
              <w:spacing w:after="0"/>
              <w:rPr>
                <w:sz w:val="20"/>
                <w:szCs w:val="20"/>
                <w:color w:val="auto"/>
              </w:rPr>
            </w:pPr>
            <w:r>
              <w:rPr>
                <w:rFonts w:ascii="Courier New" w:cs="Courier New" w:eastAsia="Courier New" w:hAnsi="Courier New"/>
                <w:sz w:val="18"/>
                <w:szCs w:val="18"/>
                <w:color w:val="auto"/>
              </w:rPr>
              <w:t>Class</w:t>
            </w:r>
          </w:p>
        </w:tc>
        <w:tc>
          <w:tcPr>
            <w:tcW w:w="1480" w:type="dxa"/>
            <w:vAlign w:val="bottom"/>
          </w:tcPr>
          <w:p>
            <w:pPr>
              <w:spacing w:after="0"/>
              <w:rPr>
                <w:sz w:val="17"/>
                <w:szCs w:val="17"/>
                <w:color w:val="auto"/>
              </w:rPr>
            </w:pPr>
          </w:p>
        </w:tc>
        <w:tc>
          <w:tcPr>
            <w:tcW w:w="384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7"/>
              </w:rPr>
              <w:t>Outstanding At December 31, 1998</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Common Stock, $2.00 par</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value</w:t>
            </w:r>
          </w:p>
        </w:tc>
        <w:tc>
          <w:tcPr>
            <w:tcW w:w="1480" w:type="dxa"/>
            <w:vAlign w:val="bottom"/>
          </w:tcPr>
          <w:p>
            <w:pPr>
              <w:spacing w:after="0"/>
              <w:rPr>
                <w:sz w:val="24"/>
                <w:szCs w:val="24"/>
                <w:color w:val="auto"/>
              </w:rPr>
            </w:pPr>
          </w:p>
        </w:tc>
        <w:tc>
          <w:tcPr>
            <w:tcW w:w="3840" w:type="dxa"/>
            <w:vAlign w:val="bottom"/>
          </w:tcPr>
          <w:p>
            <w:pPr>
              <w:jc w:val="center"/>
              <w:ind w:left="372"/>
              <w:spacing w:after="0"/>
              <w:rPr>
                <w:sz w:val="20"/>
                <w:szCs w:val="20"/>
                <w:color w:val="auto"/>
              </w:rPr>
            </w:pPr>
            <w:r>
              <w:rPr>
                <w:rFonts w:ascii="Courier New" w:cs="Courier New" w:eastAsia="Courier New" w:hAnsi="Courier New"/>
                <w:sz w:val="18"/>
                <w:szCs w:val="18"/>
                <w:color w:val="auto"/>
                <w:w w:val="98"/>
              </w:rPr>
              <w:t>32,775,310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Class "B" Common Stock,</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w:t>
            </w:r>
          </w:p>
        </w:tc>
        <w:tc>
          <w:tcPr>
            <w:tcW w:w="14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 value</w:t>
            </w:r>
          </w:p>
        </w:tc>
        <w:tc>
          <w:tcPr>
            <w:tcW w:w="384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w w:val="98"/>
              </w:rPr>
              <w:t>11,546,055</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LEE ENTERPRISES, INCORPORATED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consolidated statements of income</w:t>
      </w:r>
    </w:p>
    <w:p>
      <w:pPr>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4"/>
          <w:szCs w:val="24"/>
          <w:color w:val="auto"/>
        </w:rPr>
      </w:pPr>
    </w:p>
    <w:p>
      <w:pPr>
        <w:ind w:left="5800"/>
        <w:spacing w:after="0"/>
        <w:tabs>
          <w:tab w:leader="none" w:pos="704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(Unaudited)</w:t>
      </w:r>
    </w:p>
    <w:tbl>
      <w:tblPr>
        <w:tblLayout w:type="fixed"/>
        <w:tblInd w:w="0" w:type="dxa"/>
        <w:tblCellMar>
          <w:top w:w="0" w:type="dxa"/>
          <w:left w:w="0" w:type="dxa"/>
          <w:bottom w:w="0" w:type="dxa"/>
          <w:right w:w="0" w:type="dxa"/>
        </w:tblCellMar>
      </w:tblPr>
      <w:tr>
        <w:trPr>
          <w:trHeight w:val="203"/>
        </w:trPr>
        <w:tc>
          <w:tcPr>
            <w:tcW w:w="5440" w:type="dxa"/>
            <w:vAlign w:val="bottom"/>
          </w:tcPr>
          <w:p>
            <w:pPr>
              <w:jc w:val="right"/>
              <w:ind w:right="2072"/>
              <w:spacing w:after="0"/>
              <w:rPr>
                <w:sz w:val="20"/>
                <w:szCs w:val="20"/>
                <w:color w:val="auto"/>
              </w:rPr>
            </w:pPr>
            <w:r>
              <w:rPr>
                <w:rFonts w:ascii="Courier New" w:cs="Courier New" w:eastAsia="Courier New" w:hAnsi="Courier New"/>
                <w:sz w:val="18"/>
                <w:szCs w:val="18"/>
                <w:color w:val="auto"/>
                <w:w w:val="97"/>
              </w:rPr>
              <w:t>Three Months Ended December 31:</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revenue:</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jc w:val="right"/>
              <w:ind w:right="3552"/>
              <w:spacing w:after="0" w:line="203" w:lineRule="exact"/>
              <w:rPr>
                <w:sz w:val="20"/>
                <w:szCs w:val="20"/>
                <w:color w:val="auto"/>
              </w:rPr>
            </w:pPr>
            <w:r>
              <w:rPr>
                <w:rFonts w:ascii="Courier New" w:cs="Courier New" w:eastAsia="Courier New" w:hAnsi="Courier New"/>
                <w:sz w:val="18"/>
                <w:szCs w:val="18"/>
                <w:color w:val="auto"/>
              </w:rPr>
              <w:t>Publishing:</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jc w:val="right"/>
              <w:ind w:right="2712"/>
              <w:spacing w:after="0" w:line="203" w:lineRule="exact"/>
              <w:rPr>
                <w:sz w:val="20"/>
                <w:szCs w:val="20"/>
                <w:color w:val="auto"/>
              </w:rPr>
            </w:pPr>
            <w:r>
              <w:rPr>
                <w:rFonts w:ascii="Courier New" w:cs="Courier New" w:eastAsia="Courier New" w:hAnsi="Courier New"/>
                <w:sz w:val="18"/>
                <w:szCs w:val="18"/>
                <w:color w:val="auto"/>
              </w:rPr>
              <w:t>Daily newspapers:</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Advertising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$ 54,890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$ 52,005</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Circulation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20,689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20,791</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28,716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25,059</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Broadcasting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35,590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31,255</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Equity in net income of associated companies</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2,242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2,149</w:t>
            </w:r>
          </w:p>
        </w:tc>
      </w:tr>
      <w:tr>
        <w:trPr>
          <w:trHeight w:val="203"/>
        </w:trPr>
        <w:tc>
          <w:tcPr>
            <w:tcW w:w="544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142,127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131,259</w:t>
            </w:r>
          </w:p>
        </w:tc>
      </w:tr>
      <w:tr>
        <w:trPr>
          <w:trHeight w:val="203"/>
        </w:trPr>
        <w:tc>
          <w:tcPr>
            <w:tcW w:w="544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Compensation costs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51,303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47,668</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Newsprint and ink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10,828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10,562</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Depreciation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5,085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4,620</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Amortization of intangibles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4,403</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4,456</w:t>
            </w:r>
          </w:p>
        </w:tc>
      </w:tr>
      <w:tr>
        <w:trPr>
          <w:trHeight w:val="203"/>
        </w:trPr>
        <w:tc>
          <w:tcPr>
            <w:tcW w:w="54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35,708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33,855</w:t>
            </w:r>
          </w:p>
        </w:tc>
      </w:tr>
      <w:tr>
        <w:trPr>
          <w:trHeight w:val="203"/>
        </w:trPr>
        <w:tc>
          <w:tcPr>
            <w:tcW w:w="5440" w:type="dxa"/>
            <w:vAlign w:val="bottom"/>
          </w:tcPr>
          <w:p>
            <w:pPr>
              <w:spacing w:after="0"/>
              <w:rPr>
                <w:sz w:val="17"/>
                <w:szCs w:val="17"/>
                <w:color w:val="auto"/>
              </w:rPr>
            </w:pPr>
          </w:p>
        </w:tc>
        <w:tc>
          <w:tcPr>
            <w:tcW w:w="2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4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107,327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101,161</w:t>
            </w:r>
          </w:p>
        </w:tc>
      </w:tr>
    </w:tbl>
    <w:p>
      <w:pPr>
        <w:sectPr>
          <w:pgSz w:w="11900" w:h="16838" w:orient="portrait"/>
          <w:cols w:equalWidth="0" w:num="1">
            <w:col w:w="10219"/>
          </w:cols>
          <w:pgMar w:left="240" w:top="447"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2360" w:type="dxa"/>
            <w:vAlign w:val="bottom"/>
            <w:gridSpan w:val="4"/>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Operating income ...................</w:t>
            </w:r>
          </w:p>
        </w:tc>
        <w:tc>
          <w:tcPr>
            <w:tcW w:w="300" w:type="dxa"/>
            <w:vAlign w:val="bottom"/>
          </w:tcPr>
          <w:p>
            <w:pPr>
              <w:spacing w:after="0"/>
              <w:rPr>
                <w:sz w:val="24"/>
                <w:szCs w:val="24"/>
                <w:color w:val="auto"/>
              </w:rPr>
            </w:pP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34,800</w:t>
            </w:r>
          </w:p>
        </w:tc>
        <w:tc>
          <w:tcPr>
            <w:tcW w:w="32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30,098</w:t>
            </w:r>
          </w:p>
        </w:tc>
      </w:tr>
      <w:tr>
        <w:trPr>
          <w:trHeight w:val="203"/>
        </w:trPr>
        <w:tc>
          <w:tcPr>
            <w:tcW w:w="5120" w:type="dxa"/>
            <w:vAlign w:val="bottom"/>
          </w:tcPr>
          <w:p>
            <w:pPr>
              <w:spacing w:after="0"/>
              <w:rPr>
                <w:sz w:val="17"/>
                <w:szCs w:val="17"/>
                <w:color w:val="auto"/>
              </w:rPr>
            </w:pPr>
          </w:p>
        </w:tc>
        <w:tc>
          <w:tcPr>
            <w:tcW w:w="23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Financial (income) expense, net</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Financial (income) .........................</w:t>
            </w:r>
          </w:p>
        </w:tc>
        <w:tc>
          <w:tcPr>
            <w:tcW w:w="300" w:type="dxa"/>
            <w:vAlign w:val="bottom"/>
          </w:tcPr>
          <w:p>
            <w:pPr>
              <w:spacing w:after="0"/>
              <w:rPr>
                <w:sz w:val="17"/>
                <w:szCs w:val="17"/>
                <w:color w:val="auto"/>
              </w:rPr>
            </w:pP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(1,216)</w:t>
            </w:r>
          </w:p>
        </w:tc>
        <w:tc>
          <w:tcPr>
            <w:tcW w:w="3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w:t>
            </w: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Financial expense ..........................</w:t>
            </w:r>
          </w:p>
        </w:tc>
        <w:tc>
          <w:tcPr>
            <w:tcW w:w="30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4,266</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3,706</w:t>
            </w:r>
          </w:p>
        </w:tc>
      </w:tr>
      <w:tr>
        <w:trPr>
          <w:trHeight w:val="203"/>
        </w:trPr>
        <w:tc>
          <w:tcPr>
            <w:tcW w:w="5120" w:type="dxa"/>
            <w:vAlign w:val="bottom"/>
          </w:tcPr>
          <w:p>
            <w:pPr>
              <w:spacing w:after="0"/>
              <w:rPr>
                <w:sz w:val="17"/>
                <w:szCs w:val="17"/>
                <w:color w:val="auto"/>
              </w:rPr>
            </w:pPr>
          </w:p>
        </w:tc>
        <w:tc>
          <w:tcPr>
            <w:tcW w:w="23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3,050</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3,176</w:t>
            </w:r>
          </w:p>
        </w:tc>
      </w:tr>
      <w:tr>
        <w:trPr>
          <w:trHeight w:val="203"/>
        </w:trPr>
        <w:tc>
          <w:tcPr>
            <w:tcW w:w="5120" w:type="dxa"/>
            <w:vAlign w:val="bottom"/>
          </w:tcPr>
          <w:p>
            <w:pPr>
              <w:spacing w:after="0"/>
              <w:rPr>
                <w:sz w:val="17"/>
                <w:szCs w:val="17"/>
                <w:color w:val="auto"/>
              </w:rPr>
            </w:pPr>
          </w:p>
        </w:tc>
        <w:tc>
          <w:tcPr>
            <w:tcW w:w="23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Income before taxes on income ......</w:t>
            </w:r>
          </w:p>
        </w:tc>
        <w:tc>
          <w:tcPr>
            <w:tcW w:w="300" w:type="dxa"/>
            <w:vAlign w:val="bottom"/>
          </w:tcPr>
          <w:p>
            <w:pPr>
              <w:spacing w:after="0"/>
              <w:rPr>
                <w:sz w:val="24"/>
                <w:szCs w:val="24"/>
                <w:color w:val="auto"/>
              </w:rPr>
            </w:pP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31,750</w:t>
            </w:r>
          </w:p>
        </w:tc>
        <w:tc>
          <w:tcPr>
            <w:tcW w:w="32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26,922</w:t>
            </w: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7"/>
              </w:rPr>
              <w:t>Income taxes ..................................</w:t>
            </w:r>
          </w:p>
        </w:tc>
        <w:tc>
          <w:tcPr>
            <w:tcW w:w="30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12,111</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10,338</w:t>
            </w:r>
          </w:p>
        </w:tc>
      </w:tr>
      <w:tr>
        <w:trPr>
          <w:trHeight w:val="203"/>
        </w:trPr>
        <w:tc>
          <w:tcPr>
            <w:tcW w:w="5120" w:type="dxa"/>
            <w:vAlign w:val="bottom"/>
          </w:tcPr>
          <w:p>
            <w:pPr>
              <w:spacing w:after="0"/>
              <w:rPr>
                <w:sz w:val="17"/>
                <w:szCs w:val="17"/>
                <w:color w:val="auto"/>
              </w:rPr>
            </w:pPr>
          </w:p>
        </w:tc>
        <w:tc>
          <w:tcPr>
            <w:tcW w:w="23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Net income .........................</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$ 19,639</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16,584</w:t>
            </w:r>
          </w:p>
        </w:tc>
      </w:tr>
      <w:tr>
        <w:trPr>
          <w:trHeight w:val="203"/>
        </w:trPr>
        <w:tc>
          <w:tcPr>
            <w:tcW w:w="5120" w:type="dxa"/>
            <w:vAlign w:val="bottom"/>
          </w:tcPr>
          <w:p>
            <w:pPr>
              <w:spacing w:after="0"/>
              <w:rPr>
                <w:sz w:val="17"/>
                <w:szCs w:val="17"/>
                <w:color w:val="auto"/>
              </w:rPr>
            </w:pPr>
          </w:p>
        </w:tc>
        <w:tc>
          <w:tcPr>
            <w:tcW w:w="23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Average outstanding shares: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Basic ......................................</w:t>
            </w:r>
          </w:p>
        </w:tc>
        <w:tc>
          <w:tcPr>
            <w:tcW w:w="30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44,268</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45,316</w:t>
            </w:r>
          </w:p>
        </w:tc>
      </w:tr>
      <w:tr>
        <w:trPr>
          <w:trHeight w:val="203"/>
        </w:trPr>
        <w:tc>
          <w:tcPr>
            <w:tcW w:w="5120" w:type="dxa"/>
            <w:vAlign w:val="bottom"/>
          </w:tcPr>
          <w:p>
            <w:pPr>
              <w:spacing w:after="0"/>
              <w:rPr>
                <w:sz w:val="17"/>
                <w:szCs w:val="17"/>
                <w:color w:val="auto"/>
              </w:rPr>
            </w:pPr>
          </w:p>
        </w:tc>
        <w:tc>
          <w:tcPr>
            <w:tcW w:w="23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Diluted ....................................</w:t>
            </w:r>
          </w:p>
        </w:tc>
        <w:tc>
          <w:tcPr>
            <w:tcW w:w="300" w:type="dxa"/>
            <w:vAlign w:val="bottom"/>
          </w:tcPr>
          <w:p>
            <w:pPr>
              <w:spacing w:after="0"/>
              <w:rPr>
                <w:sz w:val="17"/>
                <w:szCs w:val="17"/>
                <w:color w:val="auto"/>
              </w:rPr>
            </w:pP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44,843</w:t>
            </w:r>
          </w:p>
        </w:tc>
        <w:tc>
          <w:tcPr>
            <w:tcW w:w="3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46,025</w:t>
            </w:r>
          </w:p>
        </w:tc>
      </w:tr>
      <w:tr>
        <w:trPr>
          <w:trHeight w:val="203"/>
        </w:trPr>
        <w:tc>
          <w:tcPr>
            <w:tcW w:w="5120" w:type="dxa"/>
            <w:vAlign w:val="bottom"/>
          </w:tcPr>
          <w:p>
            <w:pPr>
              <w:spacing w:after="0"/>
              <w:rPr>
                <w:sz w:val="17"/>
                <w:szCs w:val="17"/>
                <w:color w:val="auto"/>
              </w:rPr>
            </w:pPr>
          </w:p>
        </w:tc>
        <w:tc>
          <w:tcPr>
            <w:tcW w:w="23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Basic ......................................</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0.37</w:t>
            </w:r>
          </w:p>
        </w:tc>
      </w:tr>
      <w:tr>
        <w:trPr>
          <w:trHeight w:val="203"/>
        </w:trPr>
        <w:tc>
          <w:tcPr>
            <w:tcW w:w="5120" w:type="dxa"/>
            <w:vAlign w:val="bottom"/>
          </w:tcPr>
          <w:p>
            <w:pPr>
              <w:spacing w:after="0"/>
              <w:rPr>
                <w:sz w:val="17"/>
                <w:szCs w:val="17"/>
                <w:color w:val="auto"/>
              </w:rPr>
            </w:pPr>
          </w:p>
        </w:tc>
        <w:tc>
          <w:tcPr>
            <w:tcW w:w="23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Diluted ....................................</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0.44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0.36</w:t>
            </w:r>
          </w:p>
        </w:tc>
      </w:tr>
      <w:tr>
        <w:trPr>
          <w:trHeight w:val="203"/>
        </w:trPr>
        <w:tc>
          <w:tcPr>
            <w:tcW w:w="5120" w:type="dxa"/>
            <w:vAlign w:val="bottom"/>
          </w:tcPr>
          <w:p>
            <w:pPr>
              <w:spacing w:after="0"/>
              <w:rPr>
                <w:sz w:val="17"/>
                <w:szCs w:val="17"/>
                <w:color w:val="auto"/>
              </w:rPr>
            </w:pPr>
          </w:p>
        </w:tc>
        <w:tc>
          <w:tcPr>
            <w:tcW w:w="23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Dividends per share ...........................</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0.15</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0.14</w:t>
            </w:r>
          </w:p>
        </w:tc>
      </w:tr>
      <w:tr>
        <w:trPr>
          <w:trHeight w:val="203"/>
        </w:trPr>
        <w:tc>
          <w:tcPr>
            <w:tcW w:w="5120" w:type="dxa"/>
            <w:vAlign w:val="bottom"/>
          </w:tcPr>
          <w:p>
            <w:pPr>
              <w:spacing w:after="0"/>
              <w:rPr>
                <w:sz w:val="17"/>
                <w:szCs w:val="17"/>
                <w:color w:val="auto"/>
              </w:rPr>
            </w:pPr>
          </w:p>
        </w:tc>
        <w:tc>
          <w:tcPr>
            <w:tcW w:w="236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9899"/>
          </w:cols>
          <w:pgMar w:left="56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LEE ENTERPRISES,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consolidated balance sheets</w:t>
      </w:r>
    </w:p>
    <w:p>
      <w:pPr>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4" w:lineRule="exact"/>
        <w:rPr>
          <w:sz w:val="20"/>
          <w:szCs w:val="20"/>
          <w:color w:val="auto"/>
        </w:rPr>
      </w:pPr>
    </w:p>
    <w:p>
      <w:pPr>
        <w:ind w:left="7600"/>
        <w:spacing w:after="0"/>
        <w:rPr>
          <w:sz w:val="20"/>
          <w:szCs w:val="20"/>
          <w:color w:val="auto"/>
        </w:rPr>
      </w:pPr>
      <w:r>
        <w:rPr>
          <w:rFonts w:ascii="Courier New" w:cs="Courier New" w:eastAsia="Courier New" w:hAnsi="Courier New"/>
          <w:sz w:val="18"/>
          <w:szCs w:val="18"/>
          <w:color w:val="auto"/>
        </w:rPr>
        <w:t>December 31, September 30,</w:t>
      </w:r>
    </w:p>
    <w:p>
      <w:pPr>
        <w:spacing w:after="0"/>
        <w:tabs>
          <w:tab w:leader="none" w:pos="8000" w:val="left"/>
          <w:tab w:leader="none" w:pos="9260" w:val="left"/>
        </w:tabs>
        <w:rPr>
          <w:sz w:val="20"/>
          <w:szCs w:val="20"/>
          <w:color w:val="auto"/>
        </w:rPr>
      </w:pPr>
      <w:r>
        <w:rPr>
          <w:rFonts w:ascii="Courier New" w:cs="Courier New" w:eastAsia="Courier New" w:hAnsi="Courier New"/>
          <w:sz w:val="18"/>
          <w:szCs w:val="18"/>
          <w:color w:val="auto"/>
        </w:rPr>
        <w:t>ASSETS</w:t>
      </w:r>
      <w:r>
        <w:rPr>
          <w:sz w:val="20"/>
          <w:szCs w:val="20"/>
          <w:color w:val="auto"/>
        </w:rPr>
        <w:tab/>
      </w: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6"/>
          <w:szCs w:val="16"/>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00" w:type="dxa"/>
            <w:vAlign w:val="bottom"/>
          </w:tcPr>
          <w:p>
            <w:pPr>
              <w:spacing w:after="0"/>
              <w:rPr>
                <w:sz w:val="17"/>
                <w:szCs w:val="17"/>
                <w:color w:val="auto"/>
              </w:rPr>
            </w:pPr>
          </w:p>
        </w:tc>
        <w:tc>
          <w:tcPr>
            <w:tcW w:w="200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(Unaudited)</w:t>
            </w:r>
          </w:p>
        </w:tc>
      </w:tr>
      <w:tr>
        <w:trPr>
          <w:trHeight w:val="405"/>
        </w:trPr>
        <w:tc>
          <w:tcPr>
            <w:tcW w:w="7800" w:type="dxa"/>
            <w:vAlign w:val="bottom"/>
          </w:tcPr>
          <w:p>
            <w:pPr>
              <w:spacing w:after="0"/>
              <w:rPr>
                <w:sz w:val="20"/>
                <w:szCs w:val="20"/>
                <w:color w:val="auto"/>
              </w:rPr>
            </w:pPr>
            <w:r>
              <w:rPr>
                <w:rFonts w:ascii="Courier New" w:cs="Courier New" w:eastAsia="Courier New" w:hAnsi="Courier New"/>
                <w:sz w:val="18"/>
                <w:szCs w:val="18"/>
                <w:color w:val="auto"/>
                <w:w w:val="98"/>
              </w:rPr>
              <w:t>Cash and cash equivalents ...............................................</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$ 39,888</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$ 16,941</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Accounts receivable, net ................................................</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68,403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61,880</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Newsprint inventory .....................................................</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2,384</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3,878</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Program rights and other ................................................</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14,451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16,892</w:t>
            </w:r>
          </w:p>
        </w:tc>
      </w:tr>
      <w:tr>
        <w:trPr>
          <w:trHeight w:val="203"/>
        </w:trPr>
        <w:tc>
          <w:tcPr>
            <w:tcW w:w="780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w w:val="98"/>
              </w:rPr>
              <w:t>Total current assets ......................................</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125,126</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99,591</w:t>
            </w:r>
          </w:p>
        </w:tc>
      </w:tr>
      <w:tr>
        <w:trPr>
          <w:trHeight w:val="405"/>
        </w:trPr>
        <w:tc>
          <w:tcPr>
            <w:tcW w:w="7800" w:type="dxa"/>
            <w:vAlign w:val="bottom"/>
          </w:tcPr>
          <w:p>
            <w:pPr>
              <w:spacing w:after="0"/>
              <w:rPr>
                <w:sz w:val="20"/>
                <w:szCs w:val="20"/>
                <w:color w:val="auto"/>
              </w:rPr>
            </w:pPr>
            <w:r>
              <w:rPr>
                <w:rFonts w:ascii="Courier New" w:cs="Courier New" w:eastAsia="Courier New" w:hAnsi="Courier New"/>
                <w:sz w:val="18"/>
                <w:szCs w:val="18"/>
                <w:color w:val="auto"/>
                <w:w w:val="98"/>
              </w:rPr>
              <w:t>Investments .............................................................</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27,406</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26,471</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Property and equipment, net .............................................</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132,027</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128,372</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Intangibles and other assets ............................................</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401,650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406,151</w:t>
            </w:r>
          </w:p>
        </w:tc>
      </w:tr>
      <w:tr>
        <w:trPr>
          <w:trHeight w:val="203"/>
        </w:trPr>
        <w:tc>
          <w:tcPr>
            <w:tcW w:w="780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$686,209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$660,585</w:t>
            </w:r>
          </w:p>
        </w:tc>
      </w:tr>
      <w:tr>
        <w:trPr>
          <w:trHeight w:val="203"/>
        </w:trPr>
        <w:tc>
          <w:tcPr>
            <w:tcW w:w="780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80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608"/>
        </w:trPr>
        <w:tc>
          <w:tcPr>
            <w:tcW w:w="7800" w:type="dxa"/>
            <w:vAlign w:val="bottom"/>
          </w:tcPr>
          <w:p>
            <w:pPr>
              <w:spacing w:after="0"/>
              <w:rPr>
                <w:sz w:val="20"/>
                <w:szCs w:val="20"/>
                <w:color w:val="auto"/>
              </w:rPr>
            </w:pPr>
            <w:r>
              <w:rPr>
                <w:rFonts w:ascii="Courier New" w:cs="Courier New" w:eastAsia="Courier New" w:hAnsi="Courier New"/>
                <w:sz w:val="18"/>
                <w:szCs w:val="18"/>
                <w:color w:val="auto"/>
                <w:w w:val="98"/>
              </w:rPr>
              <w:t>Current liabilities .....................................................</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$111,430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$ 98,061</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Long-term debt, less current maturities .................................</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186,039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186,028</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Deferred items ..........................................................</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57,848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56,737</w:t>
            </w:r>
          </w:p>
        </w:tc>
      </w:tr>
      <w:tr>
        <w:trPr>
          <w:trHeight w:val="203"/>
        </w:trPr>
        <w:tc>
          <w:tcPr>
            <w:tcW w:w="78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Stockholders' equity ....................................................</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330,892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319,759</w:t>
            </w:r>
          </w:p>
        </w:tc>
      </w:tr>
      <w:tr>
        <w:trPr>
          <w:trHeight w:val="203"/>
        </w:trPr>
        <w:tc>
          <w:tcPr>
            <w:tcW w:w="780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0" w:type="dxa"/>
            <w:vAlign w:val="bottom"/>
          </w:tcPr>
          <w:p>
            <w:pPr>
              <w:spacing w:after="0"/>
              <w:rPr>
                <w:sz w:val="17"/>
                <w:szCs w:val="17"/>
                <w:color w:val="auto"/>
              </w:rPr>
            </w:pP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$686,209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$660,585</w:t>
            </w:r>
          </w:p>
        </w:tc>
      </w:tr>
      <w:tr>
        <w:trPr>
          <w:trHeight w:val="203"/>
        </w:trPr>
        <w:tc>
          <w:tcPr>
            <w:tcW w:w="780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540"/>
          </w:cols>
          <w:pgMar w:left="240" w:top="919" w:right="11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LEE ENTERPRISES,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Condensed consolidated statements of cash flows</w:t>
      </w:r>
    </w:p>
    <w:p>
      <w:pPr>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20"/>
                <w:szCs w:val="20"/>
                <w:color w:val="auto"/>
              </w:rPr>
            </w:pPr>
            <w:r>
              <w:rPr>
                <w:rFonts w:ascii="Courier New" w:cs="Courier New" w:eastAsia="Courier New" w:hAnsi="Courier New"/>
                <w:sz w:val="18"/>
                <w:szCs w:val="18"/>
                <w:color w:val="auto"/>
              </w:rPr>
              <w:t>Three Months Ended December 31:</w:t>
            </w:r>
          </w:p>
        </w:tc>
        <w:tc>
          <w:tcPr>
            <w:tcW w:w="270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1998</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tcPr>
          <w:p>
            <w:pPr>
              <w:spacing w:after="0"/>
              <w:rPr>
                <w:sz w:val="17"/>
                <w:szCs w:val="17"/>
                <w:color w:val="auto"/>
              </w:rPr>
            </w:pPr>
          </w:p>
        </w:tc>
        <w:tc>
          <w:tcPr>
            <w:tcW w:w="222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67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Provided by Operations:</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$ 19,639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$ 16,584</w:t>
            </w:r>
          </w:p>
        </w:tc>
      </w:tr>
      <w:tr>
        <w:trPr>
          <w:trHeight w:val="203"/>
        </w:trPr>
        <w:tc>
          <w:tcPr>
            <w:tcW w:w="67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Adjustments to reconcile net income to net cash provided by</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740" w:type="dxa"/>
            <w:vAlign w:val="bottom"/>
          </w:tcPr>
          <w:p>
            <w:pPr>
              <w:jc w:val="right"/>
              <w:ind w:right="4852"/>
              <w:spacing w:after="0" w:line="203" w:lineRule="exact"/>
              <w:rPr>
                <w:sz w:val="20"/>
                <w:szCs w:val="20"/>
                <w:color w:val="auto"/>
              </w:rPr>
            </w:pPr>
            <w:r>
              <w:rPr>
                <w:rFonts w:ascii="Courier New" w:cs="Courier New" w:eastAsia="Courier New" w:hAnsi="Courier New"/>
                <w:sz w:val="18"/>
                <w:szCs w:val="18"/>
                <w:color w:val="auto"/>
              </w:rPr>
              <w:t>operations:</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Depreciation and amortization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9,488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9,076</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Distributions in excess of current earnings of associated</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companies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1,758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1,813</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balance sheet changes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2,975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3,282</w:t>
            </w:r>
          </w:p>
        </w:tc>
      </w:tr>
      <w:tr>
        <w:trPr>
          <w:trHeight w:val="203"/>
        </w:trPr>
        <w:tc>
          <w:tcPr>
            <w:tcW w:w="6740" w:type="dxa"/>
            <w:vAlign w:val="bottom"/>
          </w:tcPr>
          <w:p>
            <w:pPr>
              <w:spacing w:after="0"/>
              <w:rPr>
                <w:sz w:val="17"/>
                <w:szCs w:val="17"/>
                <w:color w:val="auto"/>
              </w:rPr>
            </w:pPr>
          </w:p>
        </w:tc>
        <w:tc>
          <w:tcPr>
            <w:tcW w:w="2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cash provided by operations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33,860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30,755</w:t>
            </w:r>
          </w:p>
        </w:tc>
      </w:tr>
      <w:tr>
        <w:trPr>
          <w:trHeight w:val="203"/>
        </w:trPr>
        <w:tc>
          <w:tcPr>
            <w:tcW w:w="6740" w:type="dxa"/>
            <w:vAlign w:val="bottom"/>
          </w:tcPr>
          <w:p>
            <w:pPr>
              <w:spacing w:after="0"/>
              <w:rPr>
                <w:sz w:val="17"/>
                <w:szCs w:val="17"/>
                <w:color w:val="auto"/>
              </w:rPr>
            </w:pPr>
          </w:p>
        </w:tc>
        <w:tc>
          <w:tcPr>
            <w:tcW w:w="2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(Required for) Investing Activities:</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Purchase of property and equipment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(8,870)</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(4,347)</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r>
      <w:tr>
        <w:trPr>
          <w:trHeight w:val="203"/>
        </w:trPr>
        <w:tc>
          <w:tcPr>
            <w:tcW w:w="6740" w:type="dxa"/>
            <w:vAlign w:val="bottom"/>
          </w:tcPr>
          <w:p>
            <w:pPr>
              <w:spacing w:after="0"/>
              <w:rPr>
                <w:sz w:val="17"/>
                <w:szCs w:val="17"/>
                <w:color w:val="auto"/>
              </w:rPr>
            </w:pPr>
          </w:p>
        </w:tc>
        <w:tc>
          <w:tcPr>
            <w:tcW w:w="2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cash (required for) investing activities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(8,912)</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(4,442)</w:t>
            </w:r>
          </w:p>
        </w:tc>
      </w:tr>
      <w:tr>
        <w:trPr>
          <w:trHeight w:val="203"/>
        </w:trPr>
        <w:tc>
          <w:tcPr>
            <w:tcW w:w="6740" w:type="dxa"/>
            <w:vAlign w:val="bottom"/>
          </w:tcPr>
          <w:p>
            <w:pPr>
              <w:spacing w:after="0"/>
              <w:rPr>
                <w:sz w:val="17"/>
                <w:szCs w:val="17"/>
                <w:color w:val="auto"/>
              </w:rPr>
            </w:pPr>
          </w:p>
        </w:tc>
        <w:tc>
          <w:tcPr>
            <w:tcW w:w="2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(Required for) Financing Activities:</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Purchase of Lee Common Stock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(2,126)</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(22,482)</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Proceeds from short-term notes payable, net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Other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153</w:t>
            </w:r>
          </w:p>
        </w:tc>
      </w:tr>
      <w:tr>
        <w:trPr>
          <w:trHeight w:val="203"/>
        </w:trPr>
        <w:tc>
          <w:tcPr>
            <w:tcW w:w="6740" w:type="dxa"/>
            <w:vAlign w:val="bottom"/>
          </w:tcPr>
          <w:p>
            <w:pPr>
              <w:spacing w:after="0"/>
              <w:rPr>
                <w:sz w:val="17"/>
                <w:szCs w:val="17"/>
                <w:color w:val="auto"/>
              </w:rPr>
            </w:pPr>
          </w:p>
        </w:tc>
        <w:tc>
          <w:tcPr>
            <w:tcW w:w="2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cash (required for) financing activities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(2,001)</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(17,329)</w:t>
            </w:r>
          </w:p>
        </w:tc>
      </w:tr>
      <w:tr>
        <w:trPr>
          <w:trHeight w:val="203"/>
        </w:trPr>
        <w:tc>
          <w:tcPr>
            <w:tcW w:w="6740" w:type="dxa"/>
            <w:vAlign w:val="bottom"/>
          </w:tcPr>
          <w:p>
            <w:pPr>
              <w:spacing w:after="0"/>
              <w:rPr>
                <w:sz w:val="17"/>
                <w:szCs w:val="17"/>
                <w:color w:val="auto"/>
              </w:rPr>
            </w:pPr>
          </w:p>
        </w:tc>
        <w:tc>
          <w:tcPr>
            <w:tcW w:w="2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Net increase in cash and cash equivalents .......</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22,947</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8,984</w:t>
            </w:r>
          </w:p>
        </w:tc>
      </w:tr>
      <w:tr>
        <w:trPr>
          <w:trHeight w:val="405"/>
        </w:trPr>
        <w:tc>
          <w:tcPr>
            <w:tcW w:w="674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Beginning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16,941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14,163</w:t>
            </w:r>
          </w:p>
        </w:tc>
      </w:tr>
      <w:tr>
        <w:trPr>
          <w:trHeight w:val="203"/>
        </w:trPr>
        <w:tc>
          <w:tcPr>
            <w:tcW w:w="6740" w:type="dxa"/>
            <w:vAlign w:val="bottom"/>
          </w:tcPr>
          <w:p>
            <w:pPr>
              <w:spacing w:after="0"/>
              <w:rPr>
                <w:sz w:val="17"/>
                <w:szCs w:val="17"/>
                <w:color w:val="auto"/>
              </w:rPr>
            </w:pPr>
          </w:p>
        </w:tc>
        <w:tc>
          <w:tcPr>
            <w:tcW w:w="2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Ending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$ 39,888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$ 23,147</w:t>
            </w:r>
          </w:p>
        </w:tc>
      </w:tr>
      <w:tr>
        <w:trPr>
          <w:trHeight w:val="203"/>
        </w:trPr>
        <w:tc>
          <w:tcPr>
            <w:tcW w:w="6740" w:type="dxa"/>
            <w:vAlign w:val="bottom"/>
          </w:tcPr>
          <w:p>
            <w:pPr>
              <w:spacing w:after="0"/>
              <w:rPr>
                <w:sz w:val="17"/>
                <w:szCs w:val="17"/>
                <w:color w:val="auto"/>
              </w:rPr>
            </w:pPr>
          </w:p>
        </w:tc>
        <w:tc>
          <w:tcPr>
            <w:tcW w:w="22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Lee Enterprises,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unaudited condensed consolidated 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1.</w:t>
      </w:r>
      <w:r>
        <w:rPr>
          <w:sz w:val="20"/>
          <w:szCs w:val="20"/>
          <w:color w:val="auto"/>
        </w:rPr>
        <w:tab/>
      </w:r>
      <w:r>
        <w:rPr>
          <w:rFonts w:ascii="Courier New" w:cs="Courier New" w:eastAsia="Courier New" w:hAnsi="Courier New"/>
          <w:sz w:val="16"/>
          <w:szCs w:val="16"/>
          <w:color w:val="auto"/>
        </w:rPr>
        <w:t>Basis of Presentation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furnished reflects all adjustments, consisting of normal recurring accruals, which are, in the opinion of management, necessary to a fair presentation of the financial position as of December 31, 1998 and the results of operations and cash flows for the three months ended December 31, 1998 and 1997.</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Investment in Associated Companies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Condensed operating results of Madison Newspapers, Inc. (50% owned) and other unconsolidated associated companies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860" w:type="dxa"/>
            <w:vAlign w:val="bottom"/>
          </w:tcPr>
          <w:p>
            <w:pPr>
              <w:spacing w:after="0"/>
              <w:rPr>
                <w:sz w:val="17"/>
                <w:szCs w:val="17"/>
                <w:color w:val="auto"/>
              </w:rPr>
            </w:pPr>
          </w:p>
        </w:tc>
        <w:tc>
          <w:tcPr>
            <w:tcW w:w="21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w w:val="96"/>
              </w:rPr>
              <w:t>Three Months Ended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1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December 31,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1998</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1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1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 Thousands)</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860" w:type="dxa"/>
            <w:vAlign w:val="bottom"/>
          </w:tcPr>
          <w:p>
            <w:pPr>
              <w:spacing w:after="0"/>
              <w:rPr>
                <w:sz w:val="17"/>
                <w:szCs w:val="17"/>
                <w:color w:val="auto"/>
              </w:rPr>
            </w:pPr>
          </w:p>
        </w:tc>
        <w:tc>
          <w:tcPr>
            <w:tcW w:w="21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(Unaudited)</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w w:val="98"/>
              </w:rPr>
              <w:t>Revenues .......................................................</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$23,591</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$21,785</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Operating expenses, except depreciation and amortization .......</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15,627</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14,245</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before depreciation and amortization, interest, and taxes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7,964</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7,540</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Depreciation and amortization ..................................</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793</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Operating income ...............................................</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7,171</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6,828</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Financial income ...............................................</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323</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333</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before income taxes .....................................</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7,494</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7,161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Income taxes ...................................................</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3,032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2,885</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income .....................................................</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4,462</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4,276</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810"/>
        </w:trPr>
        <w:tc>
          <w:tcPr>
            <w:tcW w:w="6860" w:type="dxa"/>
            <w:vAlign w:val="bottom"/>
          </w:tcPr>
          <w:p>
            <w:pPr>
              <w:spacing w:after="0"/>
              <w:rPr>
                <w:sz w:val="20"/>
                <w:szCs w:val="20"/>
                <w:color w:val="auto"/>
              </w:rPr>
            </w:pPr>
            <w:r>
              <w:rPr>
                <w:rFonts w:ascii="Courier New" w:cs="Courier New" w:eastAsia="Courier New" w:hAnsi="Courier New"/>
                <w:sz w:val="18"/>
                <w:szCs w:val="18"/>
                <w:color w:val="auto"/>
              </w:rPr>
              <w:t>Note 3.  Cash  Flows  Information</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5"/>
        </w:trPr>
        <w:tc>
          <w:tcPr>
            <w:tcW w:w="6860" w:type="dxa"/>
            <w:vAlign w:val="bottom"/>
          </w:tcPr>
          <w:p>
            <w:pPr>
              <w:spacing w:after="0"/>
              <w:rPr>
                <w:sz w:val="20"/>
                <w:szCs w:val="20"/>
                <w:color w:val="auto"/>
              </w:rPr>
            </w:pPr>
            <w:r>
              <w:rPr>
                <w:rFonts w:ascii="Courier New" w:cs="Courier New" w:eastAsia="Courier New" w:hAnsi="Courier New"/>
                <w:sz w:val="18"/>
                <w:szCs w:val="18"/>
                <w:color w:val="auto"/>
              </w:rPr>
              <w:t>The components of other balance sheet changes are:</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608"/>
        </w:trPr>
        <w:tc>
          <w:tcPr>
            <w:tcW w:w="6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2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6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1998</w:t>
            </w:r>
          </w:p>
        </w:tc>
        <w:tc>
          <w:tcPr>
            <w:tcW w:w="26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6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405"/>
        </w:trPr>
        <w:tc>
          <w:tcPr>
            <w:tcW w:w="7800" w:type="dxa"/>
            <w:vAlign w:val="bottom"/>
            <w:gridSpan w:val="2"/>
          </w:tcPr>
          <w:p>
            <w:pPr>
              <w:spacing w:after="0"/>
              <w:rPr>
                <w:sz w:val="20"/>
                <w:szCs w:val="20"/>
                <w:color w:val="auto"/>
              </w:rPr>
            </w:pPr>
            <w:r>
              <w:rPr>
                <w:rFonts w:ascii="Courier New" w:cs="Courier New" w:eastAsia="Courier New" w:hAnsi="Courier New"/>
                <w:sz w:val="18"/>
                <w:szCs w:val="18"/>
                <w:color w:val="auto"/>
                <w:w w:val="98"/>
              </w:rPr>
              <w:t>(Increase) in receivables ...............................................</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(7,960)</w:t>
            </w:r>
          </w:p>
        </w:tc>
        <w:tc>
          <w:tcPr>
            <w:tcW w:w="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(7,536)</w:t>
            </w:r>
          </w:p>
        </w:tc>
      </w:tr>
      <w:tr>
        <w:trPr>
          <w:trHeight w:val="203"/>
        </w:trPr>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Decrease in inventories, film rights and other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1,746</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2,452</w:t>
            </w:r>
          </w:p>
        </w:tc>
      </w:tr>
      <w:tr>
        <w:trPr>
          <w:trHeight w:val="203"/>
        </w:trPr>
        <w:tc>
          <w:tcPr>
            <w:tcW w:w="6860" w:type="dxa"/>
            <w:vAlign w:val="bottom"/>
          </w:tcPr>
          <w:p>
            <w:pPr>
              <w:spacing w:after="0" w:line="203" w:lineRule="exact"/>
              <w:rPr>
                <w:sz w:val="20"/>
                <w:szCs w:val="20"/>
                <w:color w:val="auto"/>
              </w:rPr>
            </w:pPr>
            <w:r>
              <w:rPr>
                <w:rFonts w:ascii="Courier New" w:cs="Courier New" w:eastAsia="Courier New" w:hAnsi="Courier New"/>
                <w:sz w:val="18"/>
                <w:szCs w:val="18"/>
                <w:color w:val="auto"/>
              </w:rPr>
              <w:t>(Decrease) in accounts payable, accrued expenses and</w:t>
            </w: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7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unearned income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(1,798)</w:t>
            </w:r>
          </w:p>
        </w:tc>
        <w:tc>
          <w:tcPr>
            <w:tcW w:w="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(855)</w:t>
            </w:r>
          </w:p>
        </w:tc>
      </w:tr>
      <w:tr>
        <w:trPr>
          <w:trHeight w:val="203"/>
        </w:trPr>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Increase in income taxes payable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10,800</w:t>
            </w:r>
          </w:p>
        </w:tc>
        <w:tc>
          <w:tcPr>
            <w:tcW w:w="260" w:type="dxa"/>
            <w:vAlign w:val="bottom"/>
          </w:tcPr>
          <w:p>
            <w:pPr>
              <w:spacing w:after="0"/>
              <w:rPr>
                <w:sz w:val="17"/>
                <w:szCs w:val="17"/>
                <w:color w:val="auto"/>
              </w:rPr>
            </w:pP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9,311</w:t>
            </w:r>
          </w:p>
        </w:tc>
      </w:tr>
      <w:tr>
        <w:trPr>
          <w:trHeight w:val="203"/>
        </w:trPr>
        <w:tc>
          <w:tcPr>
            <w:tcW w:w="7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Other ...................................................................</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187</w:t>
            </w:r>
          </w:p>
        </w:tc>
        <w:tc>
          <w:tcPr>
            <w:tcW w:w="2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r>
      <w:tr>
        <w:trPr>
          <w:trHeight w:val="203"/>
        </w:trPr>
        <w:tc>
          <w:tcPr>
            <w:tcW w:w="6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2,975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3,282</w:t>
            </w:r>
          </w:p>
        </w:tc>
      </w:tr>
      <w:tr>
        <w:trPr>
          <w:trHeight w:val="203"/>
        </w:trPr>
        <w:tc>
          <w:tcPr>
            <w:tcW w:w="6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940" w:val="left"/>
        </w:tabs>
        <w:rPr>
          <w:sz w:val="20"/>
          <w:szCs w:val="20"/>
          <w:color w:val="auto"/>
        </w:rPr>
      </w:pPr>
      <w:r>
        <w:rPr>
          <w:rFonts w:ascii="Courier New" w:cs="Courier New" w:eastAsia="Courier New" w:hAnsi="Courier New"/>
          <w:sz w:val="18"/>
          <w:szCs w:val="18"/>
          <w:color w:val="auto"/>
        </w:rPr>
        <w:t>Note 4.</w:t>
      </w:r>
      <w:r>
        <w:rPr>
          <w:sz w:val="20"/>
          <w:szCs w:val="20"/>
          <w:color w:val="auto"/>
        </w:rPr>
        <w:tab/>
      </w:r>
      <w:r>
        <w:rPr>
          <w:rFonts w:ascii="Courier New" w:cs="Courier New" w:eastAsia="Courier New" w:hAnsi="Courier New"/>
          <w:sz w:val="16"/>
          <w:szCs w:val="16"/>
          <w:color w:val="auto"/>
        </w:rPr>
        <w:t>Earnings Per Share</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following table sets forth the computation of basic and diluted earnings per share (in thousands except per share amounts):</w:t>
      </w:r>
    </w:p>
    <w:p>
      <w:pPr>
        <w:spacing w:after="0" w:line="203"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Three Months Ended</w:t>
      </w:r>
    </w:p>
    <w:p>
      <w:pPr>
        <w:ind w:left="6640"/>
        <w:spacing w:after="0" w:line="238" w:lineRule="auto"/>
        <w:rPr>
          <w:sz w:val="20"/>
          <w:szCs w:val="20"/>
          <w:color w:val="auto"/>
        </w:rPr>
      </w:pPr>
      <w:r>
        <w:rPr>
          <w:rFonts w:ascii="Courier New" w:cs="Courier New" w:eastAsia="Courier New" w:hAnsi="Courier New"/>
          <w:sz w:val="18"/>
          <w:szCs w:val="18"/>
          <w:color w:val="auto"/>
        </w:rPr>
        <w:t>December 31,</w:t>
      </w:r>
    </w:p>
    <w:p>
      <w:pPr>
        <w:ind w:left="6120"/>
        <w:spacing w:after="0"/>
        <w:rPr>
          <w:sz w:val="20"/>
          <w:szCs w:val="20"/>
          <w:color w:val="auto"/>
        </w:rPr>
      </w:pPr>
      <w:r>
        <w:rPr>
          <w:rFonts w:ascii="Courier New" w:cs="Courier New" w:eastAsia="Courier New" w:hAnsi="Courier New"/>
          <w:sz w:val="18"/>
          <w:szCs w:val="18"/>
          <w:color w:val="auto"/>
        </w:rPr>
        <w:t>---------------------</w:t>
      </w:r>
    </w:p>
    <w:p>
      <w:pPr>
        <w:ind w:left="6320"/>
        <w:spacing w:after="0" w:line="237" w:lineRule="auto"/>
        <w:tabs>
          <w:tab w:leader="none" w:pos="768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1997</w:t>
      </w:r>
    </w:p>
    <w:p>
      <w:pPr>
        <w:spacing w:after="0" w:line="5"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(Unaudited)</w:t>
      </w:r>
    </w:p>
    <w:p>
      <w:pPr>
        <w:ind w:left="6440"/>
        <w:spacing w:after="0" w:line="238" w:lineRule="auto"/>
        <w:rPr>
          <w:sz w:val="20"/>
          <w:szCs w:val="20"/>
          <w:color w:val="auto"/>
        </w:rPr>
      </w:pPr>
      <w:r>
        <w:rPr>
          <w:rFonts w:ascii="Courier New" w:cs="Courier New" w:eastAsia="Courier New" w:hAnsi="Courier New"/>
          <w:sz w:val="18"/>
          <w:szCs w:val="18"/>
          <w:color w:val="auto"/>
        </w:rPr>
        <w:t>(In Thousands)</w:t>
      </w:r>
    </w:p>
    <w:p>
      <w:pPr>
        <w:sectPr>
          <w:pgSz w:w="11900" w:h="16838" w:orient="portrait"/>
          <w:cols w:equalWidth="0" w:num="1">
            <w:col w:w="10219"/>
          </w:cols>
          <w:pgMar w:left="240" w:top="919"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Numerator, income applicable to common</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shares, net income ............................</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$19,639</w:t>
      </w:r>
      <w:r>
        <w:rPr>
          <w:sz w:val="20"/>
          <w:szCs w:val="20"/>
          <w:color w:val="auto"/>
        </w:rPr>
        <w:tab/>
      </w:r>
      <w:r>
        <w:rPr>
          <w:rFonts w:ascii="Courier New" w:cs="Courier New" w:eastAsia="Courier New" w:hAnsi="Courier New"/>
          <w:sz w:val="16"/>
          <w:szCs w:val="16"/>
          <w:color w:val="auto"/>
        </w:rPr>
        <w:t>$16,584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400" w:space="720"/>
            <w:col w:w="4099"/>
          </w:cols>
          <w:pgMar w:left="240" w:top="919"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Denominator:</w:t>
      </w:r>
    </w:p>
    <w:p>
      <w:pPr>
        <w:ind w:left="320"/>
        <w:spacing w:after="0" w:line="238" w:lineRule="auto"/>
        <w:rPr>
          <w:sz w:val="20"/>
          <w:szCs w:val="20"/>
          <w:color w:val="auto"/>
        </w:rPr>
      </w:pPr>
      <w:r>
        <w:rPr>
          <w:rFonts w:ascii="Courier New" w:cs="Courier New" w:eastAsia="Courier New" w:hAnsi="Courier New"/>
          <w:sz w:val="18"/>
          <w:szCs w:val="18"/>
          <w:color w:val="auto"/>
        </w:rPr>
        <w:t>Basic, weighted average common shares</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outstanding ................................</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Dilutive effect of employee stock options .....</w:t>
      </w:r>
    </w:p>
    <w:p>
      <w:pPr>
        <w:spacing w:after="0" w:line="22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Diluted outstanding shares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both"/>
        <w:ind w:left="100"/>
        <w:spacing w:after="0"/>
        <w:tabs>
          <w:tab w:leader="none" w:pos="1560" w:val="left"/>
        </w:tabs>
        <w:rPr>
          <w:sz w:val="20"/>
          <w:szCs w:val="20"/>
          <w:color w:val="auto"/>
        </w:rPr>
      </w:pPr>
      <w:r>
        <w:rPr>
          <w:rFonts w:ascii="Courier New" w:cs="Courier New" w:eastAsia="Courier New" w:hAnsi="Courier New"/>
          <w:sz w:val="18"/>
          <w:szCs w:val="18"/>
          <w:color w:val="auto"/>
        </w:rPr>
        <w:t>44,268</w:t>
      </w:r>
      <w:r>
        <w:rPr>
          <w:sz w:val="20"/>
          <w:szCs w:val="20"/>
          <w:color w:val="auto"/>
        </w:rPr>
        <w:tab/>
      </w:r>
      <w:r>
        <w:rPr>
          <w:rFonts w:ascii="Courier New" w:cs="Courier New" w:eastAsia="Courier New" w:hAnsi="Courier New"/>
          <w:sz w:val="18"/>
          <w:szCs w:val="18"/>
          <w:color w:val="auto"/>
        </w:rPr>
        <w:t>45,316</w:t>
      </w:r>
    </w:p>
    <w:p>
      <w:pPr>
        <w:jc w:val="both"/>
        <w:ind w:left="4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575</w:t>
      </w:r>
      <w:r>
        <w:rPr>
          <w:sz w:val="20"/>
          <w:szCs w:val="20"/>
          <w:color w:val="auto"/>
        </w:rPr>
        <w:tab/>
      </w:r>
      <w:r>
        <w:rPr>
          <w:rFonts w:ascii="Courier New" w:cs="Courier New" w:eastAsia="Courier New" w:hAnsi="Courier New"/>
          <w:sz w:val="18"/>
          <w:szCs w:val="18"/>
          <w:color w:val="auto"/>
        </w:rPr>
        <w:t>709</w:t>
      </w:r>
    </w:p>
    <w:p>
      <w:pPr>
        <w:spacing w:after="0" w:line="5"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both"/>
        <w:ind w:left="100"/>
        <w:spacing w:after="0"/>
        <w:tabs>
          <w:tab w:leader="none" w:pos="1560" w:val="left"/>
        </w:tabs>
        <w:rPr>
          <w:sz w:val="20"/>
          <w:szCs w:val="20"/>
          <w:color w:val="auto"/>
        </w:rPr>
      </w:pPr>
      <w:r>
        <w:rPr>
          <w:rFonts w:ascii="Courier New" w:cs="Courier New" w:eastAsia="Courier New" w:hAnsi="Courier New"/>
          <w:sz w:val="18"/>
          <w:szCs w:val="18"/>
          <w:color w:val="auto"/>
        </w:rPr>
        <w:t>44,843</w:t>
      </w:r>
      <w:r>
        <w:rPr>
          <w:sz w:val="20"/>
          <w:szCs w:val="20"/>
          <w:color w:val="auto"/>
        </w:rPr>
        <w:tab/>
      </w:r>
      <w:r>
        <w:rPr>
          <w:rFonts w:ascii="Courier New" w:cs="Courier New" w:eastAsia="Courier New" w:hAnsi="Courier New"/>
          <w:sz w:val="18"/>
          <w:szCs w:val="18"/>
          <w:color w:val="auto"/>
        </w:rPr>
        <w:t>46,025</w:t>
      </w:r>
    </w:p>
    <w:p>
      <w:pPr>
        <w:spacing w:after="0" w:line="4"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400" w:space="720"/>
            <w:col w:w="4099"/>
          </w:cols>
          <w:pgMar w:left="240" w:top="91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share:</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Basic .........................................</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Diluted .......................................</w:t>
      </w:r>
    </w:p>
    <w:p>
      <w:pPr>
        <w:spacing w:after="0" w:line="20" w:lineRule="exact"/>
        <w:rPr>
          <w:sz w:val="20"/>
          <w:szCs w:val="20"/>
          <w:color w:val="auto"/>
        </w:rPr>
      </w:pPr>
      <w:r>
        <w:rPr>
          <w:sz w:val="20"/>
          <w:szCs w:val="20"/>
          <w:color w:val="auto"/>
        </w:rPr>
        <w:br w:type="column"/>
      </w:r>
    </w:p>
    <w:p>
      <w:pPr>
        <w:jc w:val="right"/>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0.44</w:t>
      </w:r>
    </w:p>
    <w:p>
      <w:pPr>
        <w:jc w:val="right"/>
        <w:spacing w:after="0" w:line="238" w:lineRule="auto"/>
        <w:rPr>
          <w:sz w:val="20"/>
          <w:szCs w:val="20"/>
          <w:color w:val="auto"/>
        </w:rPr>
      </w:pPr>
      <w:r>
        <w:rPr>
          <w:rFonts w:ascii="Courier New" w:cs="Courier New" w:eastAsia="Courier New" w:hAnsi="Courier New"/>
          <w:sz w:val="18"/>
          <w:szCs w:val="18"/>
          <w:color w:val="auto"/>
        </w:rPr>
        <w:t>0.44</w:t>
      </w:r>
    </w:p>
    <w:p>
      <w:pPr>
        <w:spacing w:after="0" w:line="20" w:lineRule="exact"/>
        <w:rPr>
          <w:sz w:val="20"/>
          <w:szCs w:val="20"/>
          <w:color w:val="auto"/>
        </w:rPr>
      </w:pPr>
      <w:r>
        <w:rPr>
          <w:sz w:val="20"/>
          <w:szCs w:val="20"/>
          <w:color w:val="auto"/>
        </w:rPr>
        <w:br w:type="column"/>
      </w:r>
    </w:p>
    <w:p>
      <w:pPr>
        <w:jc w:val="both"/>
        <w:spacing w:after="0"/>
        <w:tabs>
          <w:tab w:leader="none" w:pos="400" w:val="left"/>
        </w:tabs>
        <w:rPr>
          <w:sz w:val="20"/>
          <w:szCs w:val="20"/>
          <w:color w:val="auto"/>
        </w:rPr>
      </w:pPr>
      <w:r>
        <w:rPr>
          <w:rFonts w:ascii="Courier New" w:cs="Courier New" w:eastAsia="Courier New" w:hAnsi="Courier New"/>
          <w:sz w:val="18"/>
          <w:szCs w:val="18"/>
          <w:color w:val="auto"/>
        </w:rPr>
        <w:t>$</w:t>
        <w:tab/>
        <w:t>0.37</w:t>
      </w:r>
    </w:p>
    <w:p>
      <w:pPr>
        <w:jc w:val="right"/>
        <w:ind w:right="1879"/>
        <w:spacing w:after="0" w:line="238" w:lineRule="auto"/>
        <w:rPr>
          <w:sz w:val="20"/>
          <w:szCs w:val="20"/>
          <w:color w:val="auto"/>
        </w:rPr>
      </w:pPr>
      <w:r>
        <w:rPr>
          <w:rFonts w:ascii="Courier New" w:cs="Courier New" w:eastAsia="Courier New" w:hAnsi="Courier New"/>
          <w:sz w:val="18"/>
          <w:szCs w:val="18"/>
          <w:color w:val="auto"/>
        </w:rPr>
        <w:t>0.36</w:t>
      </w:r>
    </w:p>
    <w:p>
      <w:pPr>
        <w:spacing w:after="0" w:line="200" w:lineRule="exact"/>
        <w:rPr>
          <w:sz w:val="20"/>
          <w:szCs w:val="20"/>
          <w:color w:val="auto"/>
        </w:rPr>
      </w:pPr>
    </w:p>
    <w:p>
      <w:pPr>
        <w:sectPr>
          <w:pgSz w:w="11900" w:h="16838" w:orient="portrait"/>
          <w:cols w:equalWidth="0" w:num="3">
            <w:col w:w="5400" w:space="720"/>
            <w:col w:w="740" w:space="620"/>
            <w:col w:w="2739"/>
          </w:cols>
          <w:pgMar w:left="240" w:top="919" w:right="1440" w:bottom="1440" w:gutter="0" w:footer="0" w:header="0"/>
          <w:type w:val="continuous"/>
        </w:sect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Note 5.</w:t>
      </w:r>
      <w:r>
        <w:rPr>
          <w:sz w:val="20"/>
          <w:szCs w:val="20"/>
          <w:color w:val="auto"/>
        </w:rPr>
        <w:tab/>
      </w:r>
      <w:r>
        <w:rPr>
          <w:rFonts w:ascii="Courier New" w:cs="Courier New" w:eastAsia="Courier New" w:hAnsi="Courier New"/>
          <w:sz w:val="16"/>
          <w:szCs w:val="16"/>
          <w:color w:val="auto"/>
        </w:rPr>
        <w:t>Change in Accounting Principles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June 1997, the FASB issued Statement No. 130 "Reporting Comprehensive Income" and Statement No. 131 "Disclosures about Segments of an Enterprise and Related Information". Statement No. 130 establishes standards for reporting comprehensive income in financial statements. Statement No. 131 expands certain reporting and disclosure requirements for segments from current standards. The Company adopted these standards effective for the fiscal year beginning October 1, 1998. The adoption of these new standards did not result in material changes to previously reported amounts or disclosures.</w:t>
      </w:r>
    </w:p>
    <w:p>
      <w:pPr>
        <w:sectPr>
          <w:pgSz w:w="11900" w:h="16838" w:orient="portrait"/>
          <w:cols w:equalWidth="0" w:num="1">
            <w:col w:w="10219"/>
          </w:cols>
          <w:pgMar w:left="240" w:top="919" w:right="1440" w:bottom="1440" w:gutter="0" w:footer="0" w:header="0"/>
          <w:type w:val="continuous"/>
        </w:sectPr>
      </w:pPr>
    </w:p>
    <w:bookmarkStart w:id="6" w:name="page7"/>
    <w:bookmarkEnd w:id="6"/>
    <w:p>
      <w:pPr>
        <w:ind w:left="860" w:right="1779" w:hanging="842"/>
        <w:spacing w:after="0" w:line="235" w:lineRule="auto"/>
        <w:rPr>
          <w:sz w:val="20"/>
          <w:szCs w:val="20"/>
          <w:color w:val="auto"/>
        </w:rPr>
      </w:pPr>
      <w:r>
        <w:rPr>
          <w:rFonts w:ascii="Courier New" w:cs="Courier New" w:eastAsia="Courier New" w:hAnsi="Courier New"/>
          <w:sz w:val="18"/>
          <w:szCs w:val="18"/>
          <w:color w:val="auto"/>
        </w:rPr>
        <w:t>Item 2. Management's</w:t>
      </w:r>
      <w:r>
        <w:rPr>
          <w:sz w:val="20"/>
          <w:szCs w:val="20"/>
          <w:color w:val="auto"/>
        </w:rPr>
        <w:t xml:space="preserve"> </w:t>
      </w:r>
      <w:r>
        <w:rPr>
          <w:rFonts w:ascii="Courier New" w:cs="Courier New" w:eastAsia="Courier New" w:hAnsi="Courier New"/>
          <w:sz w:val="18"/>
          <w:szCs w:val="18"/>
          <w:color w:val="auto"/>
        </w:rPr>
        <w:t>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Operations by line of business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Three Months</w:t>
            </w:r>
          </w:p>
        </w:tc>
        <w:tc>
          <w:tcPr>
            <w:tcW w:w="106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Ended December 31,</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4800" w:type="dxa"/>
            <w:vAlign w:val="bottom"/>
          </w:tcPr>
          <w:p>
            <w:pPr>
              <w:spacing w:after="0"/>
              <w:rPr>
                <w:sz w:val="17"/>
                <w:szCs w:val="17"/>
                <w:color w:val="auto"/>
              </w:rPr>
            </w:pPr>
          </w:p>
        </w:tc>
        <w:tc>
          <w:tcPr>
            <w:tcW w:w="1380" w:type="dxa"/>
            <w:vAlign w:val="bottom"/>
            <w:gridSpan w:val="2"/>
          </w:tcPr>
          <w:p>
            <w:pPr>
              <w:ind w:left="160"/>
              <w:spacing w:after="0"/>
              <w:rPr>
                <w:sz w:val="20"/>
                <w:szCs w:val="20"/>
                <w:color w:val="auto"/>
              </w:rPr>
            </w:pPr>
            <w:r>
              <w:rPr>
                <w:rFonts w:ascii="Courier New" w:cs="Courier New" w:eastAsia="Courier New" w:hAnsi="Courier New"/>
                <w:sz w:val="12"/>
                <w:szCs w:val="12"/>
                <w:color w:val="auto"/>
                <w:w w:val="72"/>
              </w:rPr>
              <w:t>-----------------------</w:t>
            </w: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Increase</w:t>
            </w:r>
          </w:p>
        </w:tc>
      </w:tr>
      <w:tr>
        <w:trPr>
          <w:trHeight w:val="203"/>
        </w:trPr>
        <w:tc>
          <w:tcPr>
            <w:tcW w:w="4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7"/>
              </w:rPr>
              <w:t>1998</w:t>
            </w:r>
          </w:p>
        </w:tc>
        <w:tc>
          <w:tcPr>
            <w:tcW w:w="30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(Decrease)</w:t>
            </w:r>
          </w:p>
        </w:tc>
      </w:tr>
      <w:tr>
        <w:trPr>
          <w:trHeight w:val="203"/>
        </w:trPr>
        <w:tc>
          <w:tcPr>
            <w:tcW w:w="4800" w:type="dxa"/>
            <w:vAlign w:val="bottom"/>
          </w:tcPr>
          <w:p>
            <w:pPr>
              <w:spacing w:after="0"/>
              <w:rPr>
                <w:sz w:val="17"/>
                <w:szCs w:val="17"/>
                <w:color w:val="auto"/>
              </w:rPr>
            </w:pPr>
          </w:p>
        </w:tc>
        <w:tc>
          <w:tcPr>
            <w:tcW w:w="36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(Unaudited)</w:t>
            </w:r>
          </w:p>
        </w:tc>
        <w:tc>
          <w:tcPr>
            <w:tcW w:w="106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25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(Dollars In Thousands)</w:t>
            </w:r>
          </w:p>
        </w:tc>
        <w:tc>
          <w:tcPr>
            <w:tcW w:w="1060" w:type="dxa"/>
            <w:vAlign w:val="bottom"/>
          </w:tcPr>
          <w:p>
            <w:pPr>
              <w:spacing w:after="0"/>
              <w:rPr>
                <w:sz w:val="17"/>
                <w:szCs w:val="17"/>
                <w:color w:val="auto"/>
              </w:rPr>
            </w:pPr>
          </w:p>
        </w:tc>
      </w:tr>
      <w:tr>
        <w:trPr>
          <w:trHeight w:val="203"/>
        </w:trPr>
        <w:tc>
          <w:tcPr>
            <w:tcW w:w="480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Publishing ..............................</w:t>
            </w:r>
          </w:p>
        </w:tc>
        <w:tc>
          <w:tcPr>
            <w:tcW w:w="1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$ 106,537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6.5%</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Broadcasting ............................</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35,590</w:t>
            </w:r>
          </w:p>
        </w:tc>
        <w:tc>
          <w:tcPr>
            <w:tcW w:w="3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31,255</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13.9</w:t>
            </w:r>
          </w:p>
        </w:tc>
      </w:tr>
      <w:tr>
        <w:trPr>
          <w:trHeight w:val="203"/>
        </w:trPr>
        <w:tc>
          <w:tcPr>
            <w:tcW w:w="4800" w:type="dxa"/>
            <w:vAlign w:val="bottom"/>
          </w:tcPr>
          <w:p>
            <w:pPr>
              <w:spacing w:after="0"/>
              <w:rPr>
                <w:sz w:val="17"/>
                <w:szCs w:val="17"/>
                <w:color w:val="auto"/>
              </w:rPr>
            </w:pPr>
          </w:p>
        </w:tc>
        <w:tc>
          <w:tcPr>
            <w:tcW w:w="36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13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$ 142,127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131,259</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8.3%</w:t>
            </w:r>
          </w:p>
        </w:tc>
      </w:tr>
      <w:tr>
        <w:trPr>
          <w:trHeight w:val="203"/>
        </w:trPr>
        <w:tc>
          <w:tcPr>
            <w:tcW w:w="4800" w:type="dxa"/>
            <w:vAlign w:val="bottom"/>
          </w:tcPr>
          <w:p>
            <w:pPr>
              <w:spacing w:after="0"/>
              <w:rPr>
                <w:sz w:val="17"/>
                <w:szCs w:val="17"/>
                <w:color w:val="auto"/>
              </w:rPr>
            </w:pPr>
          </w:p>
        </w:tc>
        <w:tc>
          <w:tcPr>
            <w:tcW w:w="36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Income before depreciation and amortization,</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and taxes (EBITDA): *</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Publishing ..............................</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35,720</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34,706</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Broadcasting ............................</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12,528</w:t>
            </w:r>
          </w:p>
        </w:tc>
        <w:tc>
          <w:tcPr>
            <w:tcW w:w="3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8,423</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48.7</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Corporate ...............................</w:t>
            </w:r>
          </w:p>
        </w:tc>
        <w:tc>
          <w:tcPr>
            <w:tcW w:w="36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(3,960)</w:t>
            </w:r>
          </w:p>
        </w:tc>
        <w:tc>
          <w:tcPr>
            <w:tcW w:w="3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(3,955)</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w:t>
            </w:r>
          </w:p>
        </w:tc>
      </w:tr>
      <w:tr>
        <w:trPr>
          <w:trHeight w:val="203"/>
        </w:trPr>
        <w:tc>
          <w:tcPr>
            <w:tcW w:w="4800" w:type="dxa"/>
            <w:vAlign w:val="bottom"/>
          </w:tcPr>
          <w:p>
            <w:pPr>
              <w:spacing w:after="0"/>
              <w:rPr>
                <w:sz w:val="17"/>
                <w:szCs w:val="17"/>
                <w:color w:val="auto"/>
              </w:rPr>
            </w:pPr>
          </w:p>
        </w:tc>
        <w:tc>
          <w:tcPr>
            <w:tcW w:w="36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44,288</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39,174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4800" w:type="dxa"/>
            <w:vAlign w:val="bottom"/>
          </w:tcPr>
          <w:p>
            <w:pPr>
              <w:spacing w:after="0"/>
              <w:rPr>
                <w:sz w:val="17"/>
                <w:szCs w:val="17"/>
                <w:color w:val="auto"/>
              </w:rPr>
            </w:pPr>
          </w:p>
        </w:tc>
        <w:tc>
          <w:tcPr>
            <w:tcW w:w="36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Publishing ..............................</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29,277</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28,610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Broadcasting ............................</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9,807</w:t>
            </w:r>
          </w:p>
        </w:tc>
        <w:tc>
          <w:tcPr>
            <w:tcW w:w="3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5,680</w:t>
            </w: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72.7</w:t>
            </w: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Corporate and other .....................</w:t>
            </w:r>
          </w:p>
        </w:tc>
        <w:tc>
          <w:tcPr>
            <w:tcW w:w="360" w:type="dxa"/>
            <w:vAlign w:val="bottom"/>
          </w:tcPr>
          <w:p>
            <w:pPr>
              <w:spacing w:after="0"/>
              <w:rPr>
                <w:sz w:val="17"/>
                <w:szCs w:val="17"/>
                <w:color w:val="auto"/>
              </w:rPr>
            </w:pPr>
          </w:p>
        </w:tc>
        <w:tc>
          <w:tcPr>
            <w:tcW w:w="1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(4,284)</w:t>
            </w:r>
          </w:p>
        </w:tc>
        <w:tc>
          <w:tcPr>
            <w:tcW w:w="3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(4,192)</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4800" w:type="dxa"/>
            <w:vAlign w:val="bottom"/>
          </w:tcPr>
          <w:p>
            <w:pPr>
              <w:spacing w:after="0"/>
              <w:rPr>
                <w:sz w:val="17"/>
                <w:szCs w:val="17"/>
                <w:color w:val="auto"/>
              </w:rPr>
            </w:pPr>
          </w:p>
        </w:tc>
        <w:tc>
          <w:tcPr>
            <w:tcW w:w="36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34,800</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30,098</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15.6%</w:t>
            </w:r>
          </w:p>
        </w:tc>
      </w:tr>
      <w:tr>
        <w:trPr>
          <w:trHeight w:val="203"/>
        </w:trPr>
        <w:tc>
          <w:tcPr>
            <w:tcW w:w="4800" w:type="dxa"/>
            <w:vAlign w:val="bottom"/>
          </w:tcPr>
          <w:p>
            <w:pPr>
              <w:spacing w:after="0"/>
              <w:rPr>
                <w:sz w:val="17"/>
                <w:szCs w:val="17"/>
                <w:color w:val="auto"/>
              </w:rPr>
            </w:pPr>
          </w:p>
        </w:tc>
        <w:tc>
          <w:tcPr>
            <w:tcW w:w="3640" w:type="dxa"/>
            <w:vAlign w:val="bottom"/>
            <w:gridSpan w:val="5"/>
          </w:tcPr>
          <w:p>
            <w:pPr>
              <w:ind w:left="16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00" w:type="dxa"/>
            <w:vAlign w:val="bottom"/>
          </w:tcPr>
          <w:p>
            <w:pPr>
              <w:spacing w:after="0"/>
              <w:rPr>
                <w:sz w:val="20"/>
                <w:szCs w:val="20"/>
                <w:color w:val="auto"/>
              </w:rPr>
            </w:pPr>
            <w:r>
              <w:rPr>
                <w:rFonts w:ascii="Courier New" w:cs="Courier New" w:eastAsia="Courier New" w:hAnsi="Courier New"/>
                <w:sz w:val="18"/>
                <w:szCs w:val="18"/>
                <w:color w:val="auto"/>
              </w:rPr>
              <w:t>Capital expenditures: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Publishing ..............................</w:t>
            </w: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5,593</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2,631</w:t>
            </w:r>
          </w:p>
        </w:tc>
        <w:tc>
          <w:tcPr>
            <w:tcW w:w="106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Broadcasting ............................</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2,895</w:t>
            </w:r>
          </w:p>
        </w:tc>
        <w:tc>
          <w:tcPr>
            <w:tcW w:w="3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1,450</w:t>
            </w:r>
          </w:p>
        </w:tc>
        <w:tc>
          <w:tcPr>
            <w:tcW w:w="1060" w:type="dxa"/>
            <w:vAlign w:val="bottom"/>
          </w:tcPr>
          <w:p>
            <w:pPr>
              <w:spacing w:after="0"/>
              <w:rPr>
                <w:sz w:val="17"/>
                <w:szCs w:val="17"/>
                <w:color w:val="auto"/>
              </w:rPr>
            </w:pPr>
          </w:p>
        </w:tc>
      </w:tr>
      <w:tr>
        <w:trPr>
          <w:trHeight w:val="203"/>
        </w:trPr>
        <w:tc>
          <w:tcPr>
            <w:tcW w:w="4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Corporate ...............................</w:t>
            </w:r>
          </w:p>
        </w:tc>
        <w:tc>
          <w:tcPr>
            <w:tcW w:w="360" w:type="dxa"/>
            <w:vAlign w:val="bottom"/>
          </w:tcPr>
          <w:p>
            <w:pPr>
              <w:spacing w:after="0"/>
              <w:rPr>
                <w:sz w:val="17"/>
                <w:szCs w:val="17"/>
                <w:color w:val="auto"/>
              </w:rPr>
            </w:pP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382</w:t>
            </w:r>
          </w:p>
        </w:tc>
        <w:tc>
          <w:tcPr>
            <w:tcW w:w="300" w:type="dxa"/>
            <w:vAlign w:val="bottom"/>
          </w:tcPr>
          <w:p>
            <w:pPr>
              <w:spacing w:after="0"/>
              <w:rPr>
                <w:sz w:val="17"/>
                <w:szCs w:val="17"/>
                <w:color w:val="auto"/>
              </w:rPr>
            </w:pP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w:t>
            </w:r>
          </w:p>
        </w:tc>
        <w:tc>
          <w:tcPr>
            <w:tcW w:w="106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258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8,870</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4,347</w:t>
            </w:r>
          </w:p>
        </w:tc>
        <w:tc>
          <w:tcPr>
            <w:tcW w:w="1060" w:type="dxa"/>
            <w:vAlign w:val="bottom"/>
          </w:tcPr>
          <w:p>
            <w:pPr>
              <w:spacing w:after="0"/>
              <w:rPr>
                <w:sz w:val="17"/>
                <w:szCs w:val="17"/>
                <w:color w:val="auto"/>
              </w:rPr>
            </w:pPr>
          </w:p>
        </w:tc>
      </w:tr>
      <w:tr>
        <w:trPr>
          <w:trHeight w:val="203"/>
        </w:trPr>
        <w:tc>
          <w:tcPr>
            <w:tcW w:w="4800" w:type="dxa"/>
            <w:vAlign w:val="bottom"/>
          </w:tcPr>
          <w:p>
            <w:pPr>
              <w:spacing w:after="0"/>
              <w:rPr>
                <w:sz w:val="17"/>
                <w:szCs w:val="17"/>
                <w:color w:val="auto"/>
              </w:rPr>
            </w:pPr>
          </w:p>
        </w:tc>
        <w:tc>
          <w:tcPr>
            <w:tcW w:w="258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left="540" w:right="1779" w:hanging="532"/>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EBITDA is not a financial performance measurement under generally accepted accounting principles (GAAP), and should not be considered in isolation or a substitute for GAAP performance measurements. EBITDA is also not reflected in our consolidated statement of cash flows; but it is a common and meaningful alternative performance measurement for comparison to other companies in our industry.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PUBLISHING</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Wholly-owned daily newspaper advertising revenue increased $2,885,000, 5.5%. Advertising revenue from local merchants increased $2,047,000, 6.5%. Local "run-of-press" advertising increased $1,799,000, 8.5%, as a result of an 8.5% increase in advertising inches. Local preprint revenue increased $248,000, 2.4%. Classified advertising revenue increased $699,000, 4.4%, as a result of higher average rates and a 2.3% increase in advertising inches. Circulation revenue was flat due to promotional pricing and minimal rate increases.</w:t>
      </w:r>
    </w:p>
    <w:p>
      <w:pPr>
        <w:spacing w:after="0" w:line="211"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Other revenue consists of revenue from weekly newspapers, classified and specialty publications, commercial printing, products delivered outside the newspaper (which include activities such as target marketing and special event production) and editorial service contracts with Madison Newspapers, Inc.</w:t>
      </w:r>
    </w:p>
    <w:p>
      <w:pPr>
        <w:sectPr>
          <w:pgSz w:w="11900" w:h="16838" w:orient="portrait"/>
          <w:cols w:equalWidth="0" w:num="1">
            <w:col w:w="10219"/>
          </w:cols>
          <w:pgMar w:left="240" w:top="1330"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Courier New" w:cs="Courier New" w:eastAsia="Courier New" w:hAnsi="Courier New"/>
                <w:sz w:val="18"/>
                <w:szCs w:val="18"/>
                <w:color w:val="auto"/>
                <w:w w:val="99"/>
              </w:rPr>
              <w:t>Other revenue by category and by property is as follows:</w:t>
            </w: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6060" w:type="dxa"/>
            <w:vAlign w:val="bottom"/>
          </w:tcPr>
          <w:p>
            <w:pPr>
              <w:spacing w:after="0"/>
              <w:rPr>
                <w:sz w:val="24"/>
                <w:szCs w:val="24"/>
                <w:color w:val="auto"/>
              </w:rPr>
            </w:pPr>
          </w:p>
        </w:tc>
        <w:tc>
          <w:tcPr>
            <w:tcW w:w="23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060" w:type="dxa"/>
            <w:vAlign w:val="bottom"/>
          </w:tcPr>
          <w:p>
            <w:pPr>
              <w:spacing w:after="0"/>
              <w:rPr>
                <w:sz w:val="17"/>
                <w:szCs w:val="17"/>
                <w:color w:val="auto"/>
              </w:rPr>
            </w:pPr>
          </w:p>
        </w:tc>
        <w:tc>
          <w:tcPr>
            <w:tcW w:w="2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6060" w:type="dxa"/>
            <w:vAlign w:val="bottom"/>
          </w:tcPr>
          <w:p>
            <w:pPr>
              <w:spacing w:after="0"/>
              <w:rPr>
                <w:sz w:val="17"/>
                <w:szCs w:val="17"/>
                <w:color w:val="auto"/>
              </w:rPr>
            </w:pP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1998</w:t>
            </w:r>
          </w:p>
        </w:tc>
        <w:tc>
          <w:tcPr>
            <w:tcW w:w="1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060" w:type="dxa"/>
            <w:vAlign w:val="bottom"/>
          </w:tcPr>
          <w:p>
            <w:pPr>
              <w:spacing w:after="0"/>
              <w:rPr>
                <w:sz w:val="17"/>
                <w:szCs w:val="17"/>
                <w:color w:val="auto"/>
              </w:rPr>
            </w:pP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23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(Unaudited)</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Weekly newspapers, classified and specialty</w:t>
            </w:r>
          </w:p>
        </w:tc>
        <w:tc>
          <w:tcPr>
            <w:tcW w:w="2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203"/>
        </w:trPr>
        <w:tc>
          <w:tcPr>
            <w:tcW w:w="6060" w:type="dxa"/>
            <w:vAlign w:val="bottom"/>
          </w:tcPr>
          <w:p>
            <w:pPr>
              <w:jc w:val="right"/>
              <w:ind w:right="4272"/>
              <w:spacing w:after="0" w:line="203" w:lineRule="exact"/>
              <w:rPr>
                <w:sz w:val="20"/>
                <w:szCs w:val="20"/>
                <w:color w:val="auto"/>
              </w:rPr>
            </w:pPr>
            <w:r>
              <w:rPr>
                <w:rFonts w:ascii="Courier New" w:cs="Courier New" w:eastAsia="Courier New" w:hAnsi="Courier New"/>
                <w:sz w:val="18"/>
                <w:szCs w:val="18"/>
                <w:color w:val="auto"/>
              </w:rPr>
              <w:t>publications:</w:t>
            </w:r>
          </w:p>
        </w:tc>
        <w:tc>
          <w:tcPr>
            <w:tcW w:w="1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Properties owned for entire period ..............</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$17,522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$16,467</w:t>
            </w:r>
          </w:p>
        </w:tc>
      </w:tr>
      <w:tr>
        <w:trPr>
          <w:trHeight w:val="203"/>
        </w:trPr>
        <w:tc>
          <w:tcPr>
            <w:tcW w:w="6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Acquired since September 30, 1997 ...............</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1,849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6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7"/>
              </w:rPr>
              <w:t>Commercial printing ................................</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4,147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3,811</w:t>
            </w:r>
          </w:p>
        </w:tc>
      </w:tr>
      <w:tr>
        <w:trPr>
          <w:trHeight w:val="203"/>
        </w:trPr>
        <w:tc>
          <w:tcPr>
            <w:tcW w:w="6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7"/>
              </w:rPr>
              <w:t>Products delivered outside the newspaper ...........</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3,001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2,662</w:t>
            </w:r>
          </w:p>
        </w:tc>
      </w:tr>
      <w:tr>
        <w:trPr>
          <w:trHeight w:val="203"/>
        </w:trPr>
        <w:tc>
          <w:tcPr>
            <w:tcW w:w="60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7"/>
              </w:rPr>
              <w:t>Editorial service contracts ........................</w:t>
            </w: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2,197</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2,119</w:t>
            </w:r>
          </w:p>
        </w:tc>
      </w:tr>
      <w:tr>
        <w:trPr>
          <w:trHeight w:val="203"/>
        </w:trPr>
        <w:tc>
          <w:tcPr>
            <w:tcW w:w="6060" w:type="dxa"/>
            <w:vAlign w:val="bottom"/>
          </w:tcPr>
          <w:p>
            <w:pPr>
              <w:spacing w:after="0"/>
              <w:rPr>
                <w:sz w:val="17"/>
                <w:szCs w:val="17"/>
                <w:color w:val="auto"/>
              </w:rPr>
            </w:pP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12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$28,716</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$25,059</w:t>
            </w:r>
          </w:p>
        </w:tc>
      </w:tr>
      <w:tr>
        <w:trPr>
          <w:trHeight w:val="203"/>
        </w:trPr>
        <w:tc>
          <w:tcPr>
            <w:tcW w:w="6060" w:type="dxa"/>
            <w:vAlign w:val="bottom"/>
          </w:tcPr>
          <w:p>
            <w:pPr>
              <w:spacing w:after="0"/>
              <w:rPr>
                <w:sz w:val="17"/>
                <w:szCs w:val="17"/>
                <w:color w:val="auto"/>
              </w:rPr>
            </w:pPr>
          </w:p>
        </w:tc>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following table sets forth the percentage of revenue of certain items in the publishing segment.</w:t>
      </w:r>
    </w:p>
    <w:tbl>
      <w:tblPr>
        <w:tblLayout w:type="fixed"/>
        <w:tblInd w:w="0" w:type="dxa"/>
        <w:tblCellMar>
          <w:top w:w="0" w:type="dxa"/>
          <w:left w:w="0" w:type="dxa"/>
          <w:bottom w:w="0" w:type="dxa"/>
          <w:right w:w="0" w:type="dxa"/>
        </w:tblCellMar>
      </w:tblPr>
      <w:tr>
        <w:trPr>
          <w:trHeight w:val="204"/>
        </w:trPr>
        <w:tc>
          <w:tcPr>
            <w:tcW w:w="6700" w:type="dxa"/>
            <w:vAlign w:val="bottom"/>
          </w:tcPr>
          <w:p>
            <w:pPr>
              <w:spacing w:after="0"/>
              <w:rPr>
                <w:sz w:val="17"/>
                <w:szCs w:val="17"/>
                <w:color w:val="auto"/>
              </w:rPr>
            </w:pPr>
          </w:p>
        </w:tc>
        <w:tc>
          <w:tcPr>
            <w:tcW w:w="17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Three Months</w:t>
            </w:r>
          </w:p>
        </w:tc>
      </w:tr>
      <w:tr>
        <w:trPr>
          <w:trHeight w:val="203"/>
        </w:trPr>
        <w:tc>
          <w:tcPr>
            <w:tcW w:w="67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640" w:type="dxa"/>
            <w:vAlign w:val="bottom"/>
          </w:tcPr>
          <w:p>
            <w:pPr>
              <w:spacing w:after="0"/>
              <w:rPr>
                <w:sz w:val="17"/>
                <w:szCs w:val="17"/>
                <w:color w:val="auto"/>
              </w:rPr>
            </w:pPr>
          </w:p>
        </w:tc>
      </w:tr>
      <w:tr>
        <w:trPr>
          <w:trHeight w:val="203"/>
        </w:trPr>
        <w:tc>
          <w:tcPr>
            <w:tcW w:w="67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w:t>
            </w:r>
          </w:p>
        </w:tc>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670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1998</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w w:val="99"/>
              </w:rPr>
              <w:t>Revenue ......................................................</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100.0%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w w:val="95"/>
              </w:rPr>
              <w:t>100.0%</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w w:val="99"/>
              </w:rPr>
              <w:t>Compensation costs ...........................................</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33.9</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33.0</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Newsprint and ink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10.2</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operating expenses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22.4</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21.7</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66.5</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65.3</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w w:val="99"/>
              </w:rPr>
              <w:t>Income before depreciation, amortization, interest and taxes .</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33.5</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34.7</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Depreciation and amortization ................................</w:t>
            </w:r>
          </w:p>
        </w:tc>
        <w:tc>
          <w:tcPr>
            <w:tcW w:w="1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margin wholly-owned properties .....................</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27.5%</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28.6%</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Exclusive of the effects of acquisitions, costs other than depreciation and amortization increased $4,136,000, 6.3%. Compensation expense increased $2,466,000, 7.5%, due primarily to an increase in average compensation rate, unfavorable medical plan experience, and an increase in employee benefits for recently acquired properties. Newsprint and ink costs increased $139,000, 1.3%, due to increased consumption. Newsprint prices started to decline in December but did not have a significant impact on the results of the quarter. Other operating costs exclusive of depreciation and amortization increased $1,531,000, 7.0% due to higher distribution expenses and other cost increases.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BROADCASTING</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Revenue for the quarter increased $4,335,000, 13.9%, as political advertising increased $5,037,000, while local/regional/national advertising was flat. Production revenue and revenues from other services decreased $(350,000), (15.3%) due to loss of production revenue from the NBA lockout.</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The following table sets forth the percentage of revenue of certain items in the broadcasting segment.</w:t>
      </w:r>
    </w:p>
    <w:tbl>
      <w:tblPr>
        <w:tblLayout w:type="fixed"/>
        <w:tblInd w:w="0" w:type="dxa"/>
        <w:tblCellMar>
          <w:top w:w="0" w:type="dxa"/>
          <w:left w:w="0" w:type="dxa"/>
          <w:bottom w:w="0" w:type="dxa"/>
          <w:right w:w="0" w:type="dxa"/>
        </w:tblCellMar>
      </w:tblPr>
      <w:tr>
        <w:trPr>
          <w:trHeight w:val="204"/>
        </w:trPr>
        <w:tc>
          <w:tcPr>
            <w:tcW w:w="6700" w:type="dxa"/>
            <w:vAlign w:val="bottom"/>
          </w:tcPr>
          <w:p>
            <w:pPr>
              <w:spacing w:after="0"/>
              <w:rPr>
                <w:sz w:val="17"/>
                <w:szCs w:val="17"/>
                <w:color w:val="auto"/>
              </w:rPr>
            </w:pPr>
          </w:p>
        </w:tc>
        <w:tc>
          <w:tcPr>
            <w:tcW w:w="1740" w:type="dxa"/>
            <w:vAlign w:val="bottom"/>
            <w:gridSpan w:val="2"/>
          </w:tcPr>
          <w:p>
            <w:pPr>
              <w:jc w:val="right"/>
              <w:ind w:right="452"/>
              <w:spacing w:after="0"/>
              <w:rPr>
                <w:sz w:val="20"/>
                <w:szCs w:val="20"/>
                <w:color w:val="auto"/>
              </w:rPr>
            </w:pPr>
            <w:r>
              <w:rPr>
                <w:rFonts w:ascii="Courier New" w:cs="Courier New" w:eastAsia="Courier New" w:hAnsi="Courier New"/>
                <w:sz w:val="18"/>
                <w:szCs w:val="18"/>
                <w:color w:val="auto"/>
              </w:rPr>
              <w:t>Three</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Months Ended</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1998</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w w:val="99"/>
              </w:rPr>
              <w:t>Revenue ......................................................</w:t>
            </w: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100.0%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100.0%</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700" w:type="dxa"/>
            <w:vAlign w:val="bottom"/>
          </w:tcPr>
          <w:p>
            <w:pPr>
              <w:spacing w:after="0"/>
              <w:rPr>
                <w:sz w:val="20"/>
                <w:szCs w:val="20"/>
                <w:color w:val="auto"/>
              </w:rPr>
            </w:pPr>
            <w:r>
              <w:rPr>
                <w:rFonts w:ascii="Courier New" w:cs="Courier New" w:eastAsia="Courier New" w:hAnsi="Courier New"/>
                <w:sz w:val="18"/>
                <w:szCs w:val="18"/>
                <w:color w:val="auto"/>
                <w:w w:val="99"/>
              </w:rPr>
              <w:t>Compensation costs ...........................................</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37.1</w:t>
            </w:r>
          </w:p>
        </w:tc>
        <w:tc>
          <w:tcPr>
            <w:tcW w:w="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40.8</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Programming costs ............................................</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6.7</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w:t>
            </w:r>
          </w:p>
        </w:tc>
      </w:tr>
      <w:tr>
        <w:trPr>
          <w:trHeight w:val="203"/>
        </w:trPr>
        <w:tc>
          <w:tcPr>
            <w:tcW w:w="6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operating expenses .....................................</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21.0</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70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64.8</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73.1</w:t>
            </w:r>
          </w:p>
        </w:tc>
      </w:tr>
      <w:tr>
        <w:trPr>
          <w:trHeight w:val="203"/>
        </w:trPr>
        <w:tc>
          <w:tcPr>
            <w:tcW w:w="670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919" w:right="1440"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00" w:type="dxa"/>
            <w:vAlign w:val="bottom"/>
            <w:gridSpan w:val="2"/>
          </w:tcPr>
          <w:p>
            <w:pPr>
              <w:spacing w:after="0"/>
              <w:rPr>
                <w:sz w:val="20"/>
                <w:szCs w:val="20"/>
                <w:color w:val="auto"/>
              </w:rPr>
            </w:pPr>
            <w:r>
              <w:rPr>
                <w:rFonts w:ascii="Courier New" w:cs="Courier New" w:eastAsia="Courier New" w:hAnsi="Courier New"/>
                <w:sz w:val="18"/>
                <w:szCs w:val="18"/>
                <w:color w:val="auto"/>
                <w:w w:val="99"/>
              </w:rPr>
              <w:t>Income before depreciation, amortization, interest and taxes .</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35.2</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26.9</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Depreciation and</w:t>
            </w:r>
          </w:p>
        </w:tc>
        <w:tc>
          <w:tcPr>
            <w:tcW w:w="4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amortization ................................</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w:t>
            </w:r>
          </w:p>
        </w:tc>
      </w:tr>
      <w:tr>
        <w:trPr>
          <w:trHeight w:val="203"/>
        </w:trPr>
        <w:tc>
          <w:tcPr>
            <w:tcW w:w="174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Operating margin</w:t>
            </w:r>
          </w:p>
        </w:tc>
        <w:tc>
          <w:tcPr>
            <w:tcW w:w="4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wholly-owned properties .....................</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w:t>
            </w:r>
          </w:p>
        </w:tc>
      </w:tr>
      <w:tr>
        <w:trPr>
          <w:trHeight w:val="203"/>
        </w:trPr>
        <w:tc>
          <w:tcPr>
            <w:tcW w:w="174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7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339" w:right="1440" w:bottom="1440" w:gutter="0" w:footer="0" w:header="0"/>
        </w:sectPr>
      </w:pPr>
    </w:p>
    <w:bookmarkStart w:id="9" w:name="page10"/>
    <w:bookmarkEnd w:id="9"/>
    <w:p>
      <w:pPr>
        <w:jc w:val="both"/>
        <w:ind w:right="1779"/>
        <w:spacing w:after="0" w:line="237" w:lineRule="auto"/>
        <w:rPr>
          <w:sz w:val="20"/>
          <w:szCs w:val="20"/>
          <w:color w:val="auto"/>
        </w:rPr>
      </w:pPr>
      <w:r>
        <w:rPr>
          <w:rFonts w:ascii="Courier New" w:cs="Courier New" w:eastAsia="Courier New" w:hAnsi="Courier New"/>
          <w:sz w:val="18"/>
          <w:szCs w:val="18"/>
          <w:color w:val="auto"/>
        </w:rPr>
        <w:t>Compensation costs increased $480,000, 3.8% due to increases in average compensation. Programming costs for the quarter increased $138,000, 6.2%, primarily due to increased costs of syndicated programming. Other operating expenses, exclusive of depreciation and amortization, decreased $(388,000), (4.9%) due primarily to reductions in sales and audience promotion expenses.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COSTS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Corporate costs increased by $92,000, 2.2%, as a result of increased relocation expenses, offset in part by reduced consulting expenses.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EXPENSE AND INCOME TAXES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Interest on deferred compensation agreements for executives and others is offset by financial income earned on the invested funds held in trust. Financial income and interest expense increased by $707,000 and $9,000 in 1998 and 1997, respectively, as a result of these arrangements.</w:t>
      </w:r>
    </w:p>
    <w:p>
      <w:pPr>
        <w:spacing w:after="0" w:line="207"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Income taxes were 38.1% and 38.4% of pre-tax income for the quarters ended December 31, 1998 and 1997, respectively.</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Cash provided by operations, which is the Company's primary source of liquidity, was $33,860,000 for the quarter. Available cash balances, cash flow from operations and bank lines of credit provide adequate liquidity. Covenants related to the Company's credit agreements are not considered restrictive to operations and anticipated stockholder dividends.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w:t>
      </w:r>
    </w:p>
    <w:p>
      <w:pPr>
        <w:spacing w:after="0" w:line="207" w:lineRule="exact"/>
        <w:rPr>
          <w:sz w:val="20"/>
          <w:szCs w:val="20"/>
          <w:color w:val="auto"/>
        </w:rPr>
      </w:pPr>
    </w:p>
    <w:p>
      <w:pPr>
        <w:jc w:val="both"/>
        <w:ind w:right="1779"/>
        <w:spacing w:after="0" w:line="238" w:lineRule="auto"/>
        <w:rPr>
          <w:sz w:val="20"/>
          <w:szCs w:val="20"/>
          <w:color w:val="auto"/>
        </w:rPr>
      </w:pPr>
      <w:r>
        <w:rPr>
          <w:rFonts w:ascii="Courier New" w:cs="Courier New" w:eastAsia="Courier New" w:hAnsi="Courier New"/>
          <w:sz w:val="18"/>
          <w:szCs w:val="18"/>
          <w:color w:val="auto"/>
        </w:rPr>
        <w:t>The Year 2000 issue concerns the inability of information technology (IT) systems and equipment utilizing microprocessors to recognize and process date-sensitive information after 1999 due to the use of only the last two digits to refer to a year. This problem could affect both computer software and hardware and other equipment that relies on microprocessors. Management has completed a company-wide evaluation of this impact on its IT systems and its date-sensitive publishing equipment. The evaluation of broadcasting equipment is expected to be complete by March 31, 1999. Renovation and testing have been completed on all significant IT systems that utilize company-developed software that were not Year 2000 compliant with the exception of the newspaper advertising system. That system has been renovated and tested. Installation of the renovated advertising system is scheduled to be complete by January 31, 1999. The Company has received representations that significant software developed by others is Year 2000 compliant. Testing of these systems is expected to be complete by March 31, 1999. Installation of a new Year 2000-compliant financial system is approximately 75% complete and is planned to be complete by July 31, 1999. Testing of computer hardware for IT systems is approximately 90% complete. Renovation efforts and testing of systems/equipment are expected to be complete by June 30, 1999.</w:t>
      </w:r>
    </w:p>
    <w:p>
      <w:pPr>
        <w:spacing w:after="0" w:line="210"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Company will monitor the progress of material vendors and suppliers whose uninterrupted delivery of product or service is material to the production or distribution of our print and broadcast products in their efforts to become Year 2000 compliant. Material vendors and suppliers include electric utilities, telecommunications, news and content providers, television networks, other television programming suppliers, the U.S. Postal Service, and financial institutions.</w:t>
      </w:r>
    </w:p>
    <w:p>
      <w:pPr>
        <w:sectPr>
          <w:pgSz w:w="11900" w:h="16838" w:orient="portrait"/>
          <w:cols w:equalWidth="0" w:num="1">
            <w:col w:w="10219"/>
          </w:cols>
          <w:pgMar w:left="240" w:top="925" w:right="1440" w:bottom="1440" w:gutter="0" w:footer="0" w:header="0"/>
        </w:sectPr>
      </w:pPr>
    </w:p>
    <w:bookmarkStart w:id="10" w:name="page11"/>
    <w:bookmarkEnd w:id="10"/>
    <w:p>
      <w:pPr>
        <w:jc w:val="both"/>
        <w:ind w:right="1779"/>
        <w:spacing w:after="0" w:line="238" w:lineRule="auto"/>
        <w:rPr>
          <w:sz w:val="20"/>
          <w:szCs w:val="20"/>
          <w:color w:val="auto"/>
        </w:rPr>
      </w:pPr>
      <w:r>
        <w:rPr>
          <w:rFonts w:ascii="Courier New" w:cs="Courier New" w:eastAsia="Courier New" w:hAnsi="Courier New"/>
          <w:sz w:val="18"/>
          <w:szCs w:val="18"/>
          <w:color w:val="auto"/>
        </w:rPr>
        <w:t>From September 30, 1994 through December 31, 1998, the Company has spent approximately $500,000 to address Year 2000 issues for IT systems (exclusive of the cost of the new financial, newspaper production and other systems that were scheduled to be replaced before the year 2000 for reasons other than Year 2000 compliance). Total costs to address Year 2000 issues for IT systems are currently estimated to be less than $1,000,000 and consist primarily of staff and consultant costs. Year 2000 remediation will require the replacement of telephone switches and software at a cost of $600,000 to $1,000,000. Through December 31, 1998 approximately $300,000 had been spent for new telephone equipment. An estimate of the cost of replacement of newspaper and broadcasting equipment will be available after the completion of the evaluations described above. Funds for these costs are expected to be provided by the operating cash flows or bank line of credit of the Company.</w:t>
      </w:r>
    </w:p>
    <w:p>
      <w:pPr>
        <w:spacing w:after="0" w:line="207"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The Company could be faced with severe consequences if Year 2000 issues are not identified and resolved in a timely manner by the Company and material third parties. A worst-case scenario would result in the short-term inability of the Company to produce/distribute newspapers or broadcast television programming due to unresolved Year 2000 issues. This would result in lost revenues; however, the amount would be dependent on the length and nature of the disruption, which cannot be predicted or estimated. In light of the possible consequences, the Company is devoting the resources needed to address Year 2000 issues in a timely manner. Management monitors the progress of the Company's Year 2000 efforts and provides update reports to the audit committee of the Board of Directors at each meeting. While management expects a successful resolution of these issues, there can be no guarantee that material third parties, on which the Company relies, will address all Year 2000 issues on a timely basis or that their failure to successfully address all issues would not have an adverse effect on the Company.</w:t>
      </w:r>
    </w:p>
    <w:p>
      <w:pPr>
        <w:spacing w:after="0" w:line="195"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Company is in the process of reviewing its existing contingency plans in case business interruptions do occur. Management expects the review of these plans to be complete by June 30, 1999.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SAFE HARBOR STATEMENT</w:t>
      </w:r>
    </w:p>
    <w:p>
      <w:pPr>
        <w:spacing w:after="0" w:line="207" w:lineRule="exact"/>
        <w:rPr>
          <w:sz w:val="20"/>
          <w:szCs w:val="20"/>
          <w:color w:val="auto"/>
        </w:rPr>
      </w:pPr>
    </w:p>
    <w:p>
      <w:pPr>
        <w:jc w:val="both"/>
        <w:ind w:right="1779"/>
        <w:spacing w:after="0" w:line="269" w:lineRule="auto"/>
        <w:rPr>
          <w:sz w:val="20"/>
          <w:szCs w:val="20"/>
          <w:color w:val="auto"/>
        </w:rPr>
      </w:pPr>
      <w:r>
        <w:rPr>
          <w:rFonts w:ascii="Courier New" w:cs="Courier New" w:eastAsia="Courier New" w:hAnsi="Courier New"/>
          <w:sz w:val="16"/>
          <w:szCs w:val="16"/>
          <w:color w:val="auto"/>
        </w:rPr>
        <w:t>This report contains certain forward-looking statements that are based largely on the Company's current expectations and are subject to certain risks, trends, and uncertainties that could cause actual results to differ materially from those anticipated. Among such risks, trends, and uncertainties are changes in advertising demand, newsprint prices, interest rates, regulatory rulings, availability of quality broadcast programming at competitive prices; quality and ratings of network over-the-air broadcast programs, legislative or regulatory initiatives affecting the cost of delivery of over-the-air broadcast programs to the Company's customers, and other economic conditions and the effect of acquisitions, investments, and dispositions on the Company's results of operations or financial condition. The words "believe," "expect," "anticipate," "intends," "plans," "projects," "considers," and similar expressions generally identify forward-looking statements. Readers are cautioned not to place undue reliance on such forward-looking statements, which are as of the date of this report. Further information concerning the Company and its businesses, including factors that potentially could materially affect the Company's financial results, is included in the Company's annual report on Form 10-K.</w:t>
      </w:r>
    </w:p>
    <w:p>
      <w:pPr>
        <w:sectPr>
          <w:pgSz w:w="11900" w:h="16838" w:orient="portrait"/>
          <w:cols w:equalWidth="0" w:num="1">
            <w:col w:w="10219"/>
          </w:cols>
          <w:pgMar w:left="240" w:top="925" w:right="1440" w:bottom="1440" w:gutter="0" w:footer="0" w:header="0"/>
        </w:sectPr>
      </w:pPr>
    </w:p>
    <w:bookmarkStart w:id="11" w:name="page12"/>
    <w:bookmarkEnd w:id="11"/>
    <w:p>
      <w:pPr>
        <w:jc w:val="right"/>
        <w:ind w:right="4419"/>
        <w:spacing w:after="0"/>
        <w:rPr>
          <w:sz w:val="20"/>
          <w:szCs w:val="20"/>
          <w:color w:val="auto"/>
        </w:rPr>
      </w:pPr>
      <w:r>
        <w:rPr>
          <w:rFonts w:ascii="Courier New" w:cs="Courier New" w:eastAsia="Courier New" w:hAnsi="Courier New"/>
          <w:sz w:val="18"/>
          <w:szCs w:val="18"/>
          <w:color w:val="auto"/>
        </w:rPr>
        <w:t>LEE ENTERPRISES, INCORPORATED</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spacing w:after="0" w:line="204" w:lineRule="exact"/>
        <w:rPr>
          <w:sz w:val="20"/>
          <w:szCs w:val="20"/>
          <w:color w:val="auto"/>
        </w:rPr>
      </w:pPr>
    </w:p>
    <w:p>
      <w:pPr>
        <w:ind w:left="1800" w:hanging="528"/>
        <w:spacing w:after="0"/>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Ex-27 Financial Data Schedule</w:t>
      </w:r>
    </w:p>
    <w:p>
      <w:pPr>
        <w:spacing w:after="0" w:line="201"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 on Form 8-K: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779" w:firstLine="105"/>
        <w:spacing w:after="0" w:line="235" w:lineRule="auto"/>
        <w:rPr>
          <w:sz w:val="20"/>
          <w:szCs w:val="20"/>
          <w:color w:val="auto"/>
        </w:rPr>
      </w:pPr>
      <w:r>
        <w:rPr>
          <w:rFonts w:ascii="Courier New" w:cs="Courier New" w:eastAsia="Courier New" w:hAnsi="Courier New"/>
          <w:sz w:val="18"/>
          <w:szCs w:val="18"/>
          <w:color w:val="auto"/>
        </w:rPr>
        <w:t>Exchange Act of 1934, the signed on its behalf by the</w:t>
      </w:r>
    </w:p>
    <w:p>
      <w:pPr>
        <w:spacing w:after="0" w:line="402" w:lineRule="exact"/>
        <w:rPr>
          <w:sz w:val="20"/>
          <w:szCs w:val="20"/>
          <w:color w:val="auto"/>
        </w:rPr>
      </w:pPr>
    </w:p>
    <w:p>
      <w:pPr>
        <w:sectPr>
          <w:pgSz w:w="11900" w:h="16838" w:orient="portrait"/>
          <w:cols w:equalWidth="0" w:num="2">
            <w:col w:w="5280" w:space="100"/>
            <w:col w:w="4839"/>
          </w:cols>
          <w:pgMar w:left="240" w:top="919" w:right="1440" w:bottom="1440" w:gutter="0" w:footer="0" w:header="0"/>
          <w:type w:val="continuous"/>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LEE ENTERPRISES, INCORPORATED</w:t>
      </w:r>
    </w:p>
    <w:p>
      <w:pPr>
        <w:spacing w:after="0" w:line="200" w:lineRule="exact"/>
        <w:rPr>
          <w:sz w:val="20"/>
          <w:szCs w:val="20"/>
          <w:color w:val="auto"/>
        </w:rPr>
      </w:pPr>
    </w:p>
    <w:p>
      <w:pPr>
        <w:spacing w:after="0" w:line="20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Date</w:t>
      </w:r>
    </w:p>
    <w:p>
      <w:pPr>
        <w:spacing w:after="0"/>
        <w:tabs>
          <w:tab w:leader="none" w:pos="6520" w:val="left"/>
        </w:tabs>
        <w:rPr>
          <w:sz w:val="20"/>
          <w:szCs w:val="20"/>
          <w:color w:val="auto"/>
        </w:rPr>
      </w:pPr>
      <w:r>
        <w:rPr>
          <w:rFonts w:ascii="Courier New" w:cs="Courier New" w:eastAsia="Courier New" w:hAnsi="Courier New"/>
          <w:sz w:val="18"/>
          <w:szCs w:val="18"/>
          <w:color w:val="auto"/>
        </w:rPr>
        <w:t>/s/ G.C. Wahlig</w:t>
      </w:r>
      <w:r>
        <w:rPr>
          <w:sz w:val="20"/>
          <w:szCs w:val="20"/>
          <w:color w:val="auto"/>
        </w:rPr>
        <w:tab/>
      </w:r>
      <w:r>
        <w:rPr>
          <w:rFonts w:ascii="Courier New" w:cs="Courier New" w:eastAsia="Courier New" w:hAnsi="Courier New"/>
          <w:sz w:val="16"/>
          <w:szCs w:val="16"/>
          <w:color w:val="auto"/>
        </w:rPr>
        <w:t>2/2/99</w:t>
      </w:r>
    </w:p>
    <w:p>
      <w:pPr>
        <w:spacing w:after="0"/>
        <w:tabs>
          <w:tab w:leader="none" w:pos="58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8"/>
          <w:szCs w:val="18"/>
          <w:color w:val="auto"/>
        </w:rPr>
        <w:t>G.C. Wahlig, Chief Accounting Officer</w:t>
      </w:r>
    </w:p>
    <w:p>
      <w:pPr>
        <w:sectPr>
          <w:pgSz w:w="11900" w:h="16838" w:orient="portrait"/>
          <w:cols w:equalWidth="0" w:num="1">
            <w:col w:w="10219"/>
          </w:cols>
          <w:pgMar w:left="240" w:top="919" w:right="1440" w:bottom="1440" w:gutter="0" w:footer="0" w:header="0"/>
          <w:type w:val="continuous"/>
        </w:sectPr>
      </w:pPr>
    </w:p>
    <w:bookmarkStart w:id="12" w:name="page13"/>
    <w:bookmarkEnd w:id="12"/>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right="175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THE DECEMBER 31, 1998 FORM 10-Q OF LEE ENTERPRISES, INCORPORATED AND IS QUALIFIED IN ITS ENTIRETY BY REFERENCE TO SUCH FINANCIAL STATEMENTS</w:t>
      </w:r>
    </w:p>
    <w:p>
      <w:pPr>
        <w:spacing w:after="0" w:line="203"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SEP-30-1999</w:t>
      </w:r>
    </w:p>
    <w:p>
      <w:pPr>
        <w:ind w:left="3240"/>
        <w:spacing w:after="0"/>
        <w:rPr>
          <w:sz w:val="20"/>
          <w:szCs w:val="20"/>
          <w:color w:val="auto"/>
        </w:rPr>
      </w:pPr>
      <w:r>
        <w:rPr>
          <w:rFonts w:ascii="Courier New" w:cs="Courier New" w:eastAsia="Courier New" w:hAnsi="Courier New"/>
          <w:sz w:val="18"/>
          <w:szCs w:val="18"/>
          <w:color w:val="auto"/>
        </w:rPr>
        <w:t>DEC-31-1998</w:t>
      </w:r>
    </w:p>
    <w:p>
      <w:pPr>
        <w:ind w:left="4400"/>
        <w:spacing w:after="0" w:line="237" w:lineRule="auto"/>
        <w:rPr>
          <w:sz w:val="20"/>
          <w:szCs w:val="20"/>
          <w:color w:val="auto"/>
        </w:rPr>
      </w:pPr>
      <w:r>
        <w:rPr>
          <w:rFonts w:ascii="Courier New" w:cs="Courier New" w:eastAsia="Courier New" w:hAnsi="Courier New"/>
          <w:sz w:val="18"/>
          <w:szCs w:val="18"/>
          <w:color w:val="auto"/>
        </w:rPr>
        <w:t>39,888</w:t>
      </w:r>
    </w:p>
    <w:p>
      <w:pPr>
        <w:ind w:left="4280"/>
        <w:spacing w:after="0" w:line="238" w:lineRule="auto"/>
        <w:rPr>
          <w:sz w:val="20"/>
          <w:szCs w:val="20"/>
          <w:color w:val="auto"/>
        </w:rPr>
      </w:pPr>
      <w:r>
        <w:rPr>
          <w:rFonts w:ascii="Courier New" w:cs="Courier New" w:eastAsia="Courier New" w:hAnsi="Courier New"/>
          <w:sz w:val="18"/>
          <w:szCs w:val="18"/>
          <w:color w:val="auto"/>
        </w:rPr>
        <w:t>0</w:t>
      </w:r>
    </w:p>
    <w:p>
      <w:pPr>
        <w:ind w:left="3660"/>
        <w:spacing w:after="0"/>
        <w:rPr>
          <w:sz w:val="20"/>
          <w:szCs w:val="20"/>
          <w:color w:val="auto"/>
        </w:rPr>
      </w:pPr>
      <w:r>
        <w:rPr>
          <w:rFonts w:ascii="Courier New" w:cs="Courier New" w:eastAsia="Courier New" w:hAnsi="Courier New"/>
          <w:sz w:val="18"/>
          <w:szCs w:val="18"/>
          <w:color w:val="auto"/>
        </w:rPr>
        <w:t>73,048</w:t>
      </w:r>
    </w:p>
    <w:p>
      <w:pPr>
        <w:ind w:left="3860"/>
        <w:spacing w:after="0" w:line="237" w:lineRule="auto"/>
        <w:rPr>
          <w:sz w:val="20"/>
          <w:szCs w:val="20"/>
          <w:color w:val="auto"/>
        </w:rPr>
      </w:pPr>
      <w:r>
        <w:rPr>
          <w:rFonts w:ascii="Courier New" w:cs="Courier New" w:eastAsia="Courier New" w:hAnsi="Courier New"/>
          <w:sz w:val="18"/>
          <w:szCs w:val="18"/>
          <w:color w:val="auto"/>
        </w:rPr>
        <w:t>4,645</w:t>
      </w:r>
    </w:p>
    <w:p>
      <w:pPr>
        <w:ind w:left="3980"/>
        <w:spacing w:after="0"/>
        <w:rPr>
          <w:sz w:val="20"/>
          <w:szCs w:val="20"/>
          <w:color w:val="auto"/>
        </w:rPr>
      </w:pPr>
      <w:r>
        <w:rPr>
          <w:rFonts w:ascii="Courier New" w:cs="Courier New" w:eastAsia="Courier New" w:hAnsi="Courier New"/>
          <w:sz w:val="18"/>
          <w:szCs w:val="18"/>
          <w:color w:val="auto"/>
        </w:rPr>
        <w:t>2,384</w:t>
      </w:r>
    </w:p>
    <w:p>
      <w:pPr>
        <w:ind w:left="3240"/>
        <w:spacing w:after="0" w:line="237" w:lineRule="auto"/>
        <w:rPr>
          <w:sz w:val="20"/>
          <w:szCs w:val="20"/>
          <w:color w:val="auto"/>
        </w:rPr>
      </w:pPr>
      <w:r>
        <w:rPr>
          <w:rFonts w:ascii="Courier New" w:cs="Courier New" w:eastAsia="Courier New" w:hAnsi="Courier New"/>
          <w:sz w:val="18"/>
          <w:szCs w:val="18"/>
          <w:color w:val="auto"/>
        </w:rPr>
        <w:t>125,126</w:t>
      </w:r>
    </w:p>
    <w:p>
      <w:pPr>
        <w:ind w:left="4280"/>
        <w:spacing w:after="0"/>
        <w:rPr>
          <w:sz w:val="20"/>
          <w:szCs w:val="20"/>
          <w:color w:val="auto"/>
        </w:rPr>
      </w:pPr>
      <w:r>
        <w:rPr>
          <w:rFonts w:ascii="Courier New" w:cs="Courier New" w:eastAsia="Courier New" w:hAnsi="Courier New"/>
          <w:sz w:val="18"/>
          <w:szCs w:val="18"/>
          <w:color w:val="auto"/>
        </w:rPr>
        <w:t>307,899</w:t>
      </w:r>
    </w:p>
    <w:p>
      <w:pPr>
        <w:ind w:left="3440"/>
        <w:spacing w:after="0" w:line="237" w:lineRule="auto"/>
        <w:rPr>
          <w:sz w:val="20"/>
          <w:szCs w:val="20"/>
          <w:color w:val="auto"/>
        </w:rPr>
      </w:pPr>
      <w:r>
        <w:rPr>
          <w:rFonts w:ascii="Courier New" w:cs="Courier New" w:eastAsia="Courier New" w:hAnsi="Courier New"/>
          <w:sz w:val="18"/>
          <w:szCs w:val="18"/>
          <w:color w:val="auto"/>
        </w:rPr>
        <w:t>175,872</w:t>
      </w:r>
    </w:p>
    <w:p>
      <w:pPr>
        <w:ind w:left="3440"/>
        <w:spacing w:after="0" w:line="238" w:lineRule="auto"/>
        <w:rPr>
          <w:sz w:val="20"/>
          <w:szCs w:val="20"/>
          <w:color w:val="auto"/>
        </w:rPr>
      </w:pPr>
      <w:r>
        <w:rPr>
          <w:rFonts w:ascii="Courier New" w:cs="Courier New" w:eastAsia="Courier New" w:hAnsi="Courier New"/>
          <w:sz w:val="18"/>
          <w:szCs w:val="18"/>
          <w:color w:val="auto"/>
        </w:rPr>
        <w:t>686,209</w:t>
      </w:r>
    </w:p>
    <w:p>
      <w:pPr>
        <w:ind w:left="2700"/>
        <w:spacing w:after="0"/>
        <w:rPr>
          <w:sz w:val="20"/>
          <w:szCs w:val="20"/>
          <w:color w:val="auto"/>
        </w:rPr>
      </w:pPr>
      <w:r>
        <w:rPr>
          <w:rFonts w:ascii="Courier New" w:cs="Courier New" w:eastAsia="Courier New" w:hAnsi="Courier New"/>
          <w:sz w:val="18"/>
          <w:szCs w:val="18"/>
          <w:color w:val="auto"/>
        </w:rPr>
        <w:t>111,430</w:t>
      </w:r>
    </w:p>
    <w:p>
      <w:pPr>
        <w:ind w:left="4180"/>
        <w:spacing w:after="0" w:line="237" w:lineRule="auto"/>
        <w:rPr>
          <w:sz w:val="20"/>
          <w:szCs w:val="20"/>
          <w:color w:val="auto"/>
        </w:rPr>
      </w:pPr>
      <w:r>
        <w:rPr>
          <w:rFonts w:ascii="Courier New" w:cs="Courier New" w:eastAsia="Courier New" w:hAnsi="Courier New"/>
          <w:sz w:val="18"/>
          <w:szCs w:val="18"/>
          <w:color w:val="auto"/>
        </w:rPr>
        <w:t>186,039</w:t>
      </w:r>
    </w:p>
    <w:p>
      <w:pPr>
        <w:ind w:left="3340"/>
        <w:spacing w:after="0"/>
        <w:rPr>
          <w:sz w:val="20"/>
          <w:szCs w:val="20"/>
          <w:color w:val="auto"/>
        </w:rPr>
      </w:pPr>
      <w:r>
        <w:rPr>
          <w:rFonts w:ascii="Courier New" w:cs="Courier New" w:eastAsia="Courier New" w:hAnsi="Courier New"/>
          <w:sz w:val="18"/>
          <w:szCs w:val="18"/>
          <w:color w:val="auto"/>
        </w:rPr>
        <w:t>0</w:t>
      </w:r>
    </w:p>
    <w:p>
      <w:pPr>
        <w:ind w:left="4400"/>
        <w:spacing w:after="0" w:line="237" w:lineRule="auto"/>
        <w:rPr>
          <w:sz w:val="20"/>
          <w:szCs w:val="20"/>
          <w:color w:val="auto"/>
        </w:rPr>
      </w:pPr>
      <w:r>
        <w:rPr>
          <w:rFonts w:ascii="Courier New" w:cs="Courier New" w:eastAsia="Courier New" w:hAnsi="Courier New"/>
          <w:sz w:val="18"/>
          <w:szCs w:val="18"/>
          <w:color w:val="auto"/>
        </w:rPr>
        <w:t>0</w:t>
      </w:r>
    </w:p>
    <w:p>
      <w:pPr>
        <w:ind w:left="4180"/>
        <w:spacing w:after="0"/>
        <w:rPr>
          <w:sz w:val="20"/>
          <w:szCs w:val="20"/>
          <w:color w:val="auto"/>
        </w:rPr>
      </w:pPr>
      <w:r>
        <w:rPr>
          <w:rFonts w:ascii="Courier New" w:cs="Courier New" w:eastAsia="Courier New" w:hAnsi="Courier New"/>
          <w:sz w:val="18"/>
          <w:szCs w:val="18"/>
          <w:color w:val="auto"/>
        </w:rPr>
        <w:t>88,642</w:t>
      </w:r>
    </w:p>
    <w:p>
      <w:pPr>
        <w:ind w:left="3860"/>
        <w:spacing w:after="0" w:line="237" w:lineRule="auto"/>
        <w:rPr>
          <w:sz w:val="20"/>
          <w:szCs w:val="20"/>
          <w:color w:val="auto"/>
        </w:rPr>
      </w:pPr>
      <w:r>
        <w:rPr>
          <w:rFonts w:ascii="Courier New" w:cs="Courier New" w:eastAsia="Courier New" w:hAnsi="Courier New"/>
          <w:sz w:val="18"/>
          <w:szCs w:val="18"/>
          <w:color w:val="auto"/>
        </w:rPr>
        <w:t>242,250</w:t>
      </w:r>
    </w:p>
    <w:p>
      <w:pPr>
        <w:ind w:left="1960"/>
        <w:spacing w:after="0" w:line="238" w:lineRule="auto"/>
        <w:rPr>
          <w:sz w:val="20"/>
          <w:szCs w:val="20"/>
          <w:color w:val="auto"/>
        </w:rPr>
      </w:pPr>
      <w:r>
        <w:rPr>
          <w:rFonts w:ascii="Courier New" w:cs="Courier New" w:eastAsia="Courier New" w:hAnsi="Courier New"/>
          <w:sz w:val="18"/>
          <w:szCs w:val="18"/>
          <w:color w:val="auto"/>
        </w:rPr>
        <w:t>686,209</w:t>
      </w:r>
    </w:p>
    <w:p>
      <w:pPr>
        <w:ind w:left="4180"/>
        <w:spacing w:after="0"/>
        <w:rPr>
          <w:sz w:val="20"/>
          <w:szCs w:val="20"/>
          <w:color w:val="auto"/>
        </w:rPr>
      </w:pPr>
      <w:r>
        <w:rPr>
          <w:rFonts w:ascii="Courier New" w:cs="Courier New" w:eastAsia="Courier New" w:hAnsi="Courier New"/>
          <w:sz w:val="18"/>
          <w:szCs w:val="18"/>
          <w:color w:val="auto"/>
        </w:rPr>
        <w:t>139,885</w:t>
      </w:r>
    </w:p>
    <w:p>
      <w:pPr>
        <w:ind w:left="3240"/>
        <w:spacing w:after="0" w:line="237" w:lineRule="auto"/>
        <w:rPr>
          <w:sz w:val="20"/>
          <w:szCs w:val="20"/>
          <w:color w:val="auto"/>
        </w:rPr>
      </w:pPr>
      <w:r>
        <w:rPr>
          <w:rFonts w:ascii="Courier New" w:cs="Courier New" w:eastAsia="Courier New" w:hAnsi="Courier New"/>
          <w:sz w:val="18"/>
          <w:szCs w:val="18"/>
          <w:color w:val="auto"/>
        </w:rPr>
        <w:t>142,127</w:t>
      </w:r>
    </w:p>
    <w:p>
      <w:pPr>
        <w:jc w:val="center"/>
        <w:ind w:right="19"/>
        <w:spacing w:after="0"/>
        <w:rPr>
          <w:sz w:val="20"/>
          <w:szCs w:val="20"/>
          <w:color w:val="auto"/>
        </w:rPr>
      </w:pPr>
      <w:r>
        <w:rPr>
          <w:rFonts w:ascii="Courier New" w:cs="Courier New" w:eastAsia="Courier New" w:hAnsi="Courier New"/>
          <w:sz w:val="18"/>
          <w:szCs w:val="18"/>
          <w:color w:val="auto"/>
        </w:rPr>
        <w:t>0</w:t>
      </w:r>
    </w:p>
    <w:p>
      <w:pPr>
        <w:ind w:left="4180"/>
        <w:spacing w:after="0" w:line="237" w:lineRule="auto"/>
        <w:rPr>
          <w:sz w:val="20"/>
          <w:szCs w:val="20"/>
          <w:color w:val="auto"/>
        </w:rPr>
      </w:pPr>
      <w:r>
        <w:rPr>
          <w:rFonts w:ascii="Courier New" w:cs="Courier New" w:eastAsia="Courier New" w:hAnsi="Courier New"/>
          <w:sz w:val="18"/>
          <w:szCs w:val="18"/>
          <w:color w:val="auto"/>
        </w:rPr>
        <w:t>0</w:t>
      </w:r>
    </w:p>
    <w:p>
      <w:pPr>
        <w:jc w:val="right"/>
        <w:ind w:right="6199"/>
        <w:spacing w:after="0"/>
        <w:rPr>
          <w:sz w:val="20"/>
          <w:szCs w:val="20"/>
          <w:color w:val="auto"/>
        </w:rPr>
      </w:pPr>
      <w:r>
        <w:rPr>
          <w:rFonts w:ascii="Courier New" w:cs="Courier New" w:eastAsia="Courier New" w:hAnsi="Courier New"/>
          <w:sz w:val="18"/>
          <w:szCs w:val="18"/>
          <w:color w:val="auto"/>
        </w:rPr>
        <w:t>107,327</w:t>
      </w:r>
    </w:p>
    <w:p>
      <w:pPr>
        <w:jc w:val="right"/>
        <w:ind w:right="6199"/>
        <w:spacing w:after="0" w:line="237" w:lineRule="auto"/>
        <w:rPr>
          <w:sz w:val="20"/>
          <w:szCs w:val="20"/>
          <w:color w:val="auto"/>
        </w:rPr>
      </w:pPr>
      <w:r>
        <w:rPr>
          <w:rFonts w:ascii="Courier New" w:cs="Courier New" w:eastAsia="Courier New" w:hAnsi="Courier New"/>
          <w:sz w:val="18"/>
          <w:szCs w:val="18"/>
          <w:color w:val="auto"/>
        </w:rPr>
        <w:t>0</w:t>
      </w:r>
    </w:p>
    <w:p>
      <w:pPr>
        <w:ind w:left="3240"/>
        <w:spacing w:after="0"/>
        <w:rPr>
          <w:sz w:val="20"/>
          <w:szCs w:val="20"/>
          <w:color w:val="auto"/>
        </w:rPr>
      </w:pPr>
      <w:r>
        <w:rPr>
          <w:rFonts w:ascii="Courier New" w:cs="Courier New" w:eastAsia="Courier New" w:hAnsi="Courier New"/>
          <w:sz w:val="18"/>
          <w:szCs w:val="18"/>
          <w:color w:val="auto"/>
        </w:rPr>
        <w:t>4,266</w:t>
      </w:r>
    </w:p>
    <w:p>
      <w:pPr>
        <w:ind w:left="3440"/>
        <w:spacing w:after="0" w:line="237" w:lineRule="auto"/>
        <w:rPr>
          <w:sz w:val="20"/>
          <w:szCs w:val="20"/>
          <w:color w:val="auto"/>
        </w:rPr>
      </w:pPr>
      <w:r>
        <w:rPr>
          <w:rFonts w:ascii="Courier New" w:cs="Courier New" w:eastAsia="Courier New" w:hAnsi="Courier New"/>
          <w:sz w:val="18"/>
          <w:szCs w:val="18"/>
          <w:color w:val="auto"/>
        </w:rPr>
        <w:t>31,750</w:t>
      </w:r>
    </w:p>
    <w:p>
      <w:pPr>
        <w:ind w:left="3760"/>
        <w:spacing w:after="0" w:line="238" w:lineRule="auto"/>
        <w:rPr>
          <w:sz w:val="20"/>
          <w:szCs w:val="20"/>
          <w:color w:val="auto"/>
        </w:rPr>
      </w:pPr>
      <w:r>
        <w:rPr>
          <w:rFonts w:ascii="Courier New" w:cs="Courier New" w:eastAsia="Courier New" w:hAnsi="Courier New"/>
          <w:sz w:val="18"/>
          <w:szCs w:val="18"/>
          <w:color w:val="auto"/>
        </w:rPr>
        <w:t>12,111</w:t>
      </w:r>
    </w:p>
    <w:p>
      <w:pPr>
        <w:ind w:left="3020"/>
        <w:spacing w:after="0"/>
        <w:rPr>
          <w:sz w:val="20"/>
          <w:szCs w:val="20"/>
          <w:color w:val="auto"/>
        </w:rPr>
      </w:pPr>
      <w:r>
        <w:rPr>
          <w:rFonts w:ascii="Courier New" w:cs="Courier New" w:eastAsia="Courier New" w:hAnsi="Courier New"/>
          <w:sz w:val="18"/>
          <w:szCs w:val="18"/>
          <w:color w:val="auto"/>
        </w:rPr>
        <w:t>19,639</w:t>
      </w:r>
    </w:p>
    <w:p>
      <w:pPr>
        <w:ind w:left="4080"/>
        <w:spacing w:after="0" w:line="237" w:lineRule="auto"/>
        <w:rPr>
          <w:sz w:val="20"/>
          <w:szCs w:val="20"/>
          <w:color w:val="auto"/>
        </w:rPr>
      </w:pPr>
      <w:r>
        <w:rPr>
          <w:rFonts w:ascii="Courier New" w:cs="Courier New" w:eastAsia="Courier New" w:hAnsi="Courier New"/>
          <w:sz w:val="18"/>
          <w:szCs w:val="18"/>
          <w:color w:val="auto"/>
        </w:rPr>
        <w:t>0</w:t>
      </w:r>
    </w:p>
    <w:p>
      <w:pPr>
        <w:ind w:left="3980"/>
        <w:spacing w:after="0"/>
        <w:rPr>
          <w:sz w:val="20"/>
          <w:szCs w:val="20"/>
          <w:color w:val="auto"/>
        </w:rPr>
      </w:pPr>
      <w:r>
        <w:rPr>
          <w:rFonts w:ascii="Courier New" w:cs="Courier New" w:eastAsia="Courier New" w:hAnsi="Courier New"/>
          <w:sz w:val="18"/>
          <w:szCs w:val="18"/>
          <w:color w:val="auto"/>
        </w:rPr>
        <w:t>0</w:t>
      </w:r>
    </w:p>
    <w:p>
      <w:pPr>
        <w:ind w:left="4600"/>
        <w:spacing w:after="0" w:line="237" w:lineRule="auto"/>
        <w:rPr>
          <w:sz w:val="20"/>
          <w:szCs w:val="20"/>
          <w:color w:val="auto"/>
        </w:rPr>
      </w:pPr>
      <w:r>
        <w:rPr>
          <w:rFonts w:ascii="Courier New" w:cs="Courier New" w:eastAsia="Courier New" w:hAnsi="Courier New"/>
          <w:sz w:val="18"/>
          <w:szCs w:val="18"/>
          <w:color w:val="auto"/>
        </w:rPr>
        <w:t>0</w:t>
      </w:r>
    </w:p>
    <w:p>
      <w:pPr>
        <w:ind w:left="3760"/>
        <w:spacing w:after="0"/>
        <w:rPr>
          <w:sz w:val="20"/>
          <w:szCs w:val="20"/>
          <w:color w:val="auto"/>
        </w:rPr>
      </w:pPr>
      <w:r>
        <w:rPr>
          <w:rFonts w:ascii="Courier New" w:cs="Courier New" w:eastAsia="Courier New" w:hAnsi="Courier New"/>
          <w:sz w:val="18"/>
          <w:szCs w:val="18"/>
          <w:color w:val="auto"/>
        </w:rPr>
        <w:t>19,639</w:t>
      </w:r>
    </w:p>
    <w:p>
      <w:pPr>
        <w:ind w:left="3980"/>
        <w:spacing w:after="0" w:line="237" w:lineRule="auto"/>
        <w:rPr>
          <w:sz w:val="20"/>
          <w:szCs w:val="20"/>
          <w:color w:val="auto"/>
        </w:rPr>
      </w:pPr>
      <w:r>
        <w:rPr>
          <w:rFonts w:ascii="Courier New" w:cs="Courier New" w:eastAsia="Courier New" w:hAnsi="Courier New"/>
          <w:sz w:val="18"/>
          <w:szCs w:val="18"/>
          <w:color w:val="auto"/>
        </w:rPr>
        <w:t>.44</w:t>
      </w:r>
    </w:p>
    <w:p>
      <w:pPr>
        <w:ind w:left="3980"/>
        <w:spacing w:after="0" w:line="238" w:lineRule="auto"/>
        <w:rPr>
          <w:sz w:val="20"/>
          <w:szCs w:val="20"/>
          <w:color w:val="auto"/>
        </w:rPr>
      </w:pPr>
      <w:r>
        <w:rPr>
          <w:rFonts w:ascii="Courier New" w:cs="Courier New" w:eastAsia="Courier New" w:hAnsi="Courier New"/>
          <w:sz w:val="18"/>
          <w:szCs w:val="18"/>
          <w:color w:val="auto"/>
        </w:rPr>
        <w:t>.44</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2020-02-22T11:10:09Z</dcterms:created>
  <dcterms:modified xsi:type="dcterms:W3CDTF">2020-02-22T11:10:09Z</dcterms:modified>
</cp:coreProperties>
</file>